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34"/>
        <w:gridCol w:w="1452"/>
        <w:gridCol w:w="1194"/>
        <w:gridCol w:w="373"/>
        <w:gridCol w:w="1481"/>
        <w:gridCol w:w="866"/>
        <w:gridCol w:w="1391"/>
      </w:tblGrid>
      <w:tr w14:paraId="06F2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5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DF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Chars="20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4"/>
                <w:sz w:val="32"/>
                <w:szCs w:val="32"/>
                <w:lang w:val="en-US" w:eastAsia="zh-CN" w:bidi="ar"/>
              </w:rPr>
              <w:t>2026年安全评价报告信息公开情况表</w:t>
            </w:r>
          </w:p>
        </w:tc>
      </w:tr>
      <w:tr w14:paraId="4768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C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评价机构名称</w:t>
            </w:r>
          </w:p>
        </w:tc>
        <w:tc>
          <w:tcPr>
            <w:tcW w:w="15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C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昭通市鼎安科技有限公司</w:t>
            </w:r>
          </w:p>
        </w:tc>
        <w:tc>
          <w:tcPr>
            <w:tcW w:w="10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6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资质证号</w:t>
            </w: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0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APJ-(云)-0</w:t>
            </w: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05</w:t>
            </w:r>
          </w:p>
        </w:tc>
      </w:tr>
      <w:tr w14:paraId="5D86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2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资质范围：石油加工业，化学原料、化学品及医药制造业。</w:t>
            </w:r>
          </w:p>
        </w:tc>
      </w:tr>
      <w:tr w14:paraId="50EE6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7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资质有效期：至20</w:t>
            </w: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30</w:t>
            </w:r>
            <w:r>
              <w:rPr>
                <w:rStyle w:val="55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12</w:t>
            </w:r>
            <w:r>
              <w:rPr>
                <w:rStyle w:val="55"/>
                <w:sz w:val="21"/>
                <w:szCs w:val="21"/>
                <w:lang w:val="en-US" w:eastAsia="zh-CN" w:bidi="ar"/>
              </w:rPr>
              <w:t>月</w:t>
            </w: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55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08D5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项目评价的基本情况</w:t>
            </w:r>
          </w:p>
        </w:tc>
      </w:tr>
      <w:tr w14:paraId="416A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4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39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通海县中源加油站安全现状评价</w:t>
            </w:r>
          </w:p>
        </w:tc>
      </w:tr>
      <w:tr w14:paraId="1DA6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 w:bidi="ar"/>
              </w:rPr>
              <w:t>合同编号</w:t>
            </w:r>
          </w:p>
        </w:tc>
        <w:tc>
          <w:tcPr>
            <w:tcW w:w="15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7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default" w:ascii="宋体" w:hAnsi="宋体" w:eastAsia="宋体" w:cs="宋体"/>
                <w:color w:val="FF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安全评价类型</w:t>
            </w: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hint="default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安全现状评价报告</w:t>
            </w:r>
          </w:p>
        </w:tc>
      </w:tr>
      <w:tr w14:paraId="0A39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0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行业类别</w:t>
            </w:r>
          </w:p>
        </w:tc>
        <w:tc>
          <w:tcPr>
            <w:tcW w:w="15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F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危化</w:t>
            </w:r>
          </w:p>
        </w:tc>
        <w:tc>
          <w:tcPr>
            <w:tcW w:w="10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F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项目完成时间</w:t>
            </w: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9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hint="default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/>
                <w:sz w:val="21"/>
                <w:szCs w:val="21"/>
                <w:lang w:val="en-US" w:eastAsia="zh-CN" w:bidi="ar"/>
              </w:rPr>
              <w:t>2026年7月</w:t>
            </w:r>
          </w:p>
        </w:tc>
      </w:tr>
      <w:tr w14:paraId="7B0A5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1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项目基本概况</w:t>
            </w:r>
          </w:p>
        </w:tc>
      </w:tr>
      <w:tr w14:paraId="6B69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A0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topLinePunct w:val="0"/>
              <w:bidi w:val="0"/>
              <w:spacing w:line="240" w:lineRule="auto"/>
              <w:jc w:val="both"/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  <w:t>公司名称：</w:t>
            </w:r>
            <w:r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通海县中源加油站</w:t>
            </w:r>
          </w:p>
          <w:p w14:paraId="665061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topLinePunct w:val="0"/>
              <w:bidi w:val="0"/>
              <w:spacing w:line="240" w:lineRule="auto"/>
              <w:jc w:val="both"/>
              <w:rPr>
                <w:rStyle w:val="55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  <w:t>项目地点：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云南省玉溪市通海县高大乡代办村（白泥山路口）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  <w:t>项目基本情况：</w:t>
            </w:r>
            <w:r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通海县中源加油站安全现状评价项目</w:t>
            </w:r>
            <w:r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通海县中源加油站位于云南省玉溪市通海县高大乡代办村（白泥山路口），公司类型为个人独资企业，负责人为阮益聪，主要经营汽油（95#、92#）和柴油（0#），属于三级加油站（其中30m³92#汽油罐1具、30m³95#汽油罐1具、30m³0﹟柴油罐2具）。</w:t>
            </w:r>
          </w:p>
        </w:tc>
      </w:tr>
      <w:tr w14:paraId="34CB2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评价人员组成</w:t>
            </w:r>
          </w:p>
        </w:tc>
      </w:tr>
      <w:tr w14:paraId="733A1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评价人员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7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F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D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证书编号/职业资格证书管理号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从业登记编号/执业证号</w:t>
            </w:r>
          </w:p>
        </w:tc>
      </w:tr>
      <w:tr w14:paraId="36DA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0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覃月英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安全工程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1600000000201304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8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021299</w:t>
            </w:r>
          </w:p>
        </w:tc>
      </w:tr>
      <w:tr w14:paraId="4502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B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项目组成员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陆朝春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B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机械工程及自动化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1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1500000000301384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025641</w:t>
            </w:r>
          </w:p>
        </w:tc>
      </w:tr>
      <w:tr w14:paraId="1DCA2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项目组成员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刁开红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D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化工工艺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0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03320241053000000589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1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53250445475</w:t>
            </w:r>
          </w:p>
        </w:tc>
      </w:tr>
      <w:tr w14:paraId="7053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3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项目组成员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6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马殿金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E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电气自动化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instrText xml:space="preserve"> HYPERLINK "http://cydj.5anquan.com/Admin/AprySearch/path=/Files/Image/ApryImg/Profession/Edit10199/" \t "http://cydj.5anquan.com/Admin/AprySearch/_blank" </w:instrTex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1500000000302282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fldChar w:fldCharType="end"/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9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025642</w:t>
            </w:r>
          </w:p>
        </w:tc>
      </w:tr>
      <w:tr w14:paraId="54D2B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项目组成员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8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毛卫旭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自动化/安全工程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5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0800000000205718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E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55"/>
                <w:rFonts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011101</w:t>
            </w:r>
          </w:p>
        </w:tc>
      </w:tr>
      <w:tr w14:paraId="53C1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C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现场勘查时间</w:t>
            </w:r>
          </w:p>
        </w:tc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2026年6月2日</w:t>
            </w:r>
          </w:p>
        </w:tc>
        <w:tc>
          <w:tcPr>
            <w:tcW w:w="9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C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现场勘验人员</w:t>
            </w:r>
          </w:p>
        </w:tc>
        <w:tc>
          <w:tcPr>
            <w:tcW w:w="2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6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覃月英、刁开红</w:t>
            </w:r>
          </w:p>
        </w:tc>
      </w:tr>
      <w:tr w14:paraId="157B3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现场勘查的任务及工作内容</w:t>
            </w:r>
          </w:p>
        </w:tc>
        <w:tc>
          <w:tcPr>
            <w:tcW w:w="41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6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现场勘查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通海县中源加油站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站址、站内平面布置、加油及卸油工艺、设备设施、公辅设施、作业场所及安全管理情况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。</w:t>
            </w:r>
          </w:p>
        </w:tc>
      </w:tr>
      <w:tr w14:paraId="71A5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6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评价对象</w:t>
            </w:r>
          </w:p>
        </w:tc>
        <w:tc>
          <w:tcPr>
            <w:tcW w:w="41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通海县中源加油站安全现状</w:t>
            </w:r>
          </w:p>
        </w:tc>
      </w:tr>
      <w:tr w14:paraId="3E7A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3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评价范围</w:t>
            </w:r>
          </w:p>
        </w:tc>
        <w:tc>
          <w:tcPr>
            <w:tcW w:w="41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9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评价范围为：通海县中源加油站站址、站内平面布置、加油及卸油工艺、设备设施、公辅设施、作业场所及安全管理等内容。</w:t>
            </w:r>
          </w:p>
        </w:tc>
      </w:tr>
      <w:tr w14:paraId="34889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F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项目的主要危险和有害因素辨识结果</w:t>
            </w:r>
          </w:p>
        </w:tc>
        <w:tc>
          <w:tcPr>
            <w:tcW w:w="41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F0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加油站涉及的危险、有害因素为火灾、可燃液体蒸气爆炸、触电、机械致害、中毒、窒息、厂（场）内车辆致害、高处坠落等。其中最主要的危险、有害因素是火灾、可燃液体蒸气爆炸、厂（场）内车辆致害。</w:t>
            </w:r>
          </w:p>
          <w:p w14:paraId="1A959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事故易发及危险点是：加油区（加油场地及加油机）、储油罐区（包括油罐及管道）、站房（包括营业室、值班室等）。</w:t>
            </w:r>
          </w:p>
        </w:tc>
      </w:tr>
      <w:tr w14:paraId="4D4C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是否构成重大危险源</w:t>
            </w:r>
          </w:p>
        </w:tc>
        <w:tc>
          <w:tcPr>
            <w:tcW w:w="410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31DB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1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评价结论</w:t>
            </w:r>
          </w:p>
        </w:tc>
      </w:tr>
      <w:tr w14:paraId="5C6FA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1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根据《中华人民共和国安全生产法》、《危险化学品安全管理条例》、《危险化学品经营许可证管理办法》、《安全评价通则》及相关法规、规范，对照通海县中源加油站当前状况，评价组认为：</w:t>
            </w:r>
            <w:r>
              <w:rPr>
                <w:rStyle w:val="55"/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 w:bidi="ar"/>
              </w:rPr>
              <w:t>通海县中源加油站安全管理、设备设施现状符合国家有关安全方面的法律、法规、规章及标准规范的有关要求，具备安全经营的条件。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企业应根据最新颁布的安全生产法律、法规、技术标准、规范规定持续提升安全生产条件。</w:t>
            </w:r>
          </w:p>
          <w:p w14:paraId="4221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Style w:val="55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本次</w:t>
            </w:r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安全评价结论是在评</w:t>
            </w:r>
            <w:bookmarkStart w:id="0" w:name="_GoBack"/>
            <w:bookmarkEnd w:id="0"/>
            <w:r>
              <w:rPr>
                <w:rStyle w:val="5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价组本次现场勘查和企业提供资料的基础上得出，当周边环境、储存方式、设备设施和工艺等发生变化时，企业应重新对该项目进行安全评价。</w:t>
            </w:r>
          </w:p>
        </w:tc>
      </w:tr>
      <w:tr w14:paraId="0AB61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6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5"/>
                <w:sz w:val="21"/>
                <w:szCs w:val="21"/>
                <w:lang w:val="en-US" w:eastAsia="zh-CN" w:bidi="ar"/>
              </w:rPr>
              <w:t>现场照片</w:t>
            </w:r>
          </w:p>
        </w:tc>
      </w:tr>
      <w:tr w14:paraId="5F41E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tbl>
            <w:tblPr>
              <w:tblStyle w:val="25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40"/>
              <w:gridCol w:w="8"/>
              <w:gridCol w:w="4148"/>
            </w:tblGrid>
            <w:tr w14:paraId="65CFE3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5936587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2055" cy="1854200"/>
                        <wp:effectExtent l="0" t="0" r="0" b="2540"/>
                        <wp:docPr id="9" name="图片 1" descr="DJI_20260520135639_0580_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 1" descr="DJI_20260520135639_0580_D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205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297A8D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200"/>
                        <wp:effectExtent l="0" t="0" r="9525" b="2540"/>
                        <wp:docPr id="4" name="图片 2" descr="20260520_14164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2" descr="20260520_141641"/>
                                <pic:cNvPicPr preferRelativeResize="0"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6EDAE3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DA194B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cs="宋体"/>
                      <w:b/>
                      <w:bCs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加油站全景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95F398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加油区全景</w:t>
                  </w:r>
                </w:p>
              </w:tc>
            </w:tr>
            <w:tr w14:paraId="63A05B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42DE674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200"/>
                        <wp:effectExtent l="0" t="0" r="9525" b="2540"/>
                        <wp:docPr id="16" name="图片 3" descr="20260520_1416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3" descr="20260520_141613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57D975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200"/>
                        <wp:effectExtent l="0" t="0" r="9525" b="2540"/>
                        <wp:docPr id="21" name="图片 4" descr="20260520_14194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图片 4" descr="20260520_141943"/>
                                <pic:cNvPicPr preferRelativeResize="0"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2F4A64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275A2C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加油站进站道路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191DA8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加油站出站道路</w:t>
                  </w:r>
                </w:p>
              </w:tc>
            </w:tr>
            <w:tr w14:paraId="2F80F3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3CE1F61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200"/>
                        <wp:effectExtent l="0" t="0" r="9525" b="2540"/>
                        <wp:docPr id="18" name="图片 5" descr="20260520_1433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图片 5" descr="20260520_14332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4911BA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cs="宋体"/>
                      <w:b/>
                      <w:bCs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2055" cy="1854200"/>
                        <wp:effectExtent l="0" t="0" r="0" b="2540"/>
                        <wp:docPr id="22" name="图片 6" descr="20260520_1436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图片 6" descr="20260520_14360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205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2FEA92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0CFEF5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埋地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油罐区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6CE9EA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自助洗车区</w:t>
                  </w:r>
                </w:p>
              </w:tc>
            </w:tr>
            <w:tr w14:paraId="139768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E685B2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2055" cy="1854200"/>
                        <wp:effectExtent l="0" t="0" r="0" b="2540"/>
                        <wp:docPr id="14" name="图片 7" descr="20260520_1417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图片 7" descr="20260520_1417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2055" cy="185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3D63634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0000" cy="1905000"/>
                        <wp:effectExtent l="0" t="0" r="7620" b="5715"/>
                        <wp:docPr id="5" name="图片 8" descr="20260520_1418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8" descr="20260520_1418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0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C74F2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315CB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洗手间、发电机房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0601013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配电房、餐厅</w:t>
                  </w:r>
                </w:p>
              </w:tc>
            </w:tr>
            <w:tr w14:paraId="429C77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78D28D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5715" cy="1909445"/>
                        <wp:effectExtent l="0" t="0" r="1905" b="1270"/>
                        <wp:docPr id="15" name="图片 9" descr="微信图片_20260601115206_1268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图片 9" descr="微信图片_20260601115206_1268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5715" cy="1909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B3FF6D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4445" cy="1908175"/>
                        <wp:effectExtent l="0" t="0" r="3175" b="2540"/>
                        <wp:docPr id="11" name="图片 10" descr="20260520_1433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图片 10" descr="20260520_1433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444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07F6B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648A1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污水处理设备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147CD10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加油机、加油岛</w:t>
                  </w:r>
                </w:p>
              </w:tc>
            </w:tr>
            <w:tr w14:paraId="6BE245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68D2D24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1905000" cy="2538095"/>
                        <wp:effectExtent l="0" t="0" r="9525" b="5715"/>
                        <wp:docPr id="3" name="图片 11" descr="20260520_1413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11" descr="20260520_1413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1905000" cy="2538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383DE02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4445" cy="1908175"/>
                        <wp:effectExtent l="0" t="0" r="3175" b="2540"/>
                        <wp:docPr id="12" name="图片 12" descr="20260520_1434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2" descr="20260520_1434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444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642263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6DE5B1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加油机配备的灭火器、灭火毯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2DCC0A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加油机设置的可燃气体检测报警仪</w:t>
                  </w:r>
                </w:p>
              </w:tc>
            </w:tr>
            <w:tr w14:paraId="5C1C99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5D36DDB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58415" cy="1918335"/>
                        <wp:effectExtent l="0" t="0" r="0" b="3175"/>
                        <wp:docPr id="6" name="图片 13" descr="17ee55fd2601cd9efce476e5d61a59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13" descr="17ee55fd2601cd9efce476e5d61a59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8415" cy="1918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43BCFA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69210" cy="1926590"/>
                        <wp:effectExtent l="0" t="0" r="0" b="5715"/>
                        <wp:docPr id="17" name="图片 14" descr="7c14e5a11c22569f3270019250c969c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图片 14" descr="7c14e5a11c22569f3270019250c969c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210" cy="1926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5C5C9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42AD80D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加油区设置的警示标志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53E1F2C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shd w:val="clear" w:color="auto" w:fill="auto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加油机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急停开关</w:t>
                  </w:r>
                </w:p>
              </w:tc>
            </w:tr>
            <w:tr w14:paraId="396BC8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150CB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908175"/>
                        <wp:effectExtent l="0" t="0" r="9525" b="2540"/>
                        <wp:docPr id="10" name="图片 15" descr="20260520_14345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图片 15" descr="20260520_143457"/>
                                <pic:cNvPicPr preferRelativeResize="0"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5F76B7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908175"/>
                        <wp:effectExtent l="0" t="0" r="9525" b="2540"/>
                        <wp:docPr id="7" name="图片 16" descr="20260520_14344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图片 16" descr="20260520_143447"/>
                                <pic:cNvPicPr preferRelativeResize="0"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19EF2C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2719548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cs="宋体"/>
                      <w:b/>
                      <w:bCs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卸油口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178B4C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卸油操作规程</w:t>
                  </w:r>
                </w:p>
              </w:tc>
            </w:tr>
            <w:tr w14:paraId="11BE12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457F5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3810" cy="1908175"/>
                        <wp:effectExtent l="0" t="0" r="3810" b="2540"/>
                        <wp:docPr id="8" name="图片 17" descr="20260520_1438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17" descr="20260520_1438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3810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B15CF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909445"/>
                        <wp:effectExtent l="0" t="0" r="9525" b="1270"/>
                        <wp:docPr id="2" name="图片 18" descr="20260520_143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8" descr="20260520_1435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909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486690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92FA9F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卸油区消防沙箱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42E644D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卸油区车辆、人员静电释放装置</w:t>
                  </w:r>
                </w:p>
              </w:tc>
            </w:tr>
            <w:tr w14:paraId="55201D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2209296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color w:val="000000" w:themeColor="text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宋体" w:hAnsi="宋体" w:eastAsia="宋体" w:cs="宋体"/>
                      <w:b/>
                      <w:bCs/>
                      <w:color w:val="000000" w:themeColor="text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835"/>
                        <wp:effectExtent l="0" t="0" r="9525" b="1905"/>
                        <wp:docPr id="20" name="图片 19" descr="微信图片_20260601115316_1278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图片 19" descr="微信图片_20260601115316_1278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BAB3D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40940" cy="1830705"/>
                        <wp:effectExtent l="0" t="0" r="9525" b="4445"/>
                        <wp:docPr id="13" name="图片 20" descr="微信图片_20260601120233_1317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图片 20" descr="微信图片_20260601120233_1317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0940" cy="1830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59A62B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4DF704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站房消防应急物资柜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47EFE3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站房内操作规程、应急处置措施上墙</w:t>
                  </w:r>
                </w:p>
              </w:tc>
            </w:tr>
            <w:tr w14:paraId="5664B3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29E839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4445" cy="1908175"/>
                        <wp:effectExtent l="0" t="0" r="3175" b="2540"/>
                        <wp:docPr id="19" name="图片 21" descr="微信图片_20260601115905_1291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图片 21" descr="微信图片_20260601115905_1291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444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56F11C7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44445" cy="1908175"/>
                        <wp:effectExtent l="0" t="0" r="3175" b="2540"/>
                        <wp:docPr id="27" name="图片 22" descr="微信图片_20260601115912_1293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图片 22" descr="微信图片_20260601115912_1293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4445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117A94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10C77DB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液位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shd w:val="clear" w:color="auto" w:fill="auto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仪管理系统（含渗漏检测）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43A180A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液位仪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shd w:val="clear" w:color="auto" w:fill="auto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管理系统（含渗漏检测）</w:t>
                  </w:r>
                </w:p>
              </w:tc>
            </w:tr>
            <w:tr w14:paraId="471010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4C72CA3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835"/>
                        <wp:effectExtent l="0" t="0" r="9525" b="1905"/>
                        <wp:docPr id="28" name="图片 23" descr="微信图片_20260601115920_1294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3" descr="微信图片_20260601115920_1294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6B98A7C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835"/>
                        <wp:effectExtent l="0" t="0" r="9525" b="1905"/>
                        <wp:docPr id="26" name="图片 24" descr="微信图片_20260601120133_1301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图片 24" descr="微信图片_20260601120133_1301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019AD2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22A99DB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站房内视频监控集中显示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BCA0B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站房内紧急停车按钮</w:t>
                  </w:r>
                </w:p>
              </w:tc>
            </w:tr>
            <w:tr w14:paraId="205E91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A21B2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5470"/>
                        <wp:effectExtent l="0" t="0" r="9525" b="1270"/>
                        <wp:docPr id="33" name="图片 25" descr="20260520_1439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图片 25" descr="20260520_1439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5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4E0A6B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473325" cy="1854835"/>
                        <wp:effectExtent l="0" t="0" r="9525" b="1905"/>
                        <wp:docPr id="32" name="图片 26" descr="微信图片_20260601115148_1263_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图片 26" descr="微信图片_20260601115148_1263_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325" cy="1854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1FA1E7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6ABE878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进站须知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shd w:val="clear" w:color="auto" w:fill="auto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安全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告知牌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6F8171B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配电室操作规程上墙</w:t>
                  </w:r>
                </w:p>
              </w:tc>
            </w:tr>
            <w:tr w14:paraId="3D320A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629504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64130" cy="1908175"/>
                        <wp:effectExtent l="0" t="0" r="5080" b="2540"/>
                        <wp:docPr id="23" name="图片 27" descr="DJI_20260520135232_0577_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图片 27" descr="DJI_20260520135232_0577_D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4130" cy="190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0DC47C3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69210" cy="1926590"/>
                        <wp:effectExtent l="0" t="0" r="0" b="5715"/>
                        <wp:docPr id="29" name="图片 28" descr="e0feeb3d209af20364e7135666de0d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8" descr="e0feeb3d209af20364e7135666de0d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210" cy="1926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471FE5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95458F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加油站东南面国道G245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2E1A594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加油站西南面民用建筑（万宾酒家）</w:t>
                  </w:r>
                </w:p>
              </w:tc>
            </w:tr>
            <w:tr w14:paraId="7148BF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73D251F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61590" cy="1920240"/>
                        <wp:effectExtent l="0" t="0" r="7620" b="1270"/>
                        <wp:docPr id="30" name="图片 29" descr="4ba9744e874f64a0f17d1968f88bd9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图片 29" descr="4ba9744e874f64a0f17d1968f88bd9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1590" cy="192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784F69A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72385" cy="1928495"/>
                        <wp:effectExtent l="0" t="0" r="7620" b="3810"/>
                        <wp:docPr id="24" name="图片 30" descr="06f76c23b94dc9c77421ac49b9944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图片 30" descr="06f76c23b94dc9c77421ac49b99440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2385" cy="1928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8EF82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495" w:type="pct"/>
                  <w:noWrap w:val="0"/>
                  <w:vAlign w:val="top"/>
                </w:tcPr>
                <w:p w14:paraId="390DCB0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加油站东北面民用建筑</w:t>
                  </w:r>
                </w:p>
              </w:tc>
              <w:tc>
                <w:tcPr>
                  <w:tcW w:w="2504" w:type="pct"/>
                  <w:gridSpan w:val="2"/>
                  <w:noWrap w:val="0"/>
                  <w:vAlign w:val="top"/>
                </w:tcPr>
                <w:p w14:paraId="60FA45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加油站东南面民用建筑</w:t>
                  </w:r>
                </w:p>
              </w:tc>
            </w:tr>
            <w:tr w14:paraId="575732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500" w:type="pct"/>
                  <w:gridSpan w:val="2"/>
                  <w:noWrap w:val="0"/>
                  <w:vAlign w:val="top"/>
                </w:tcPr>
                <w:p w14:paraId="32AE7A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618105" cy="1963420"/>
                        <wp:effectExtent l="0" t="0" r="5080" b="1270"/>
                        <wp:docPr id="25" name="图片 31" descr="c484ae15614960cc6dde010c85e1837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图片 31" descr="c484ae15614960cc6dde010c85e1837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8105" cy="1963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noWrap w:val="0"/>
                  <w:vAlign w:val="top"/>
                </w:tcPr>
                <w:p w14:paraId="1058B74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drawing>
                      <wp:inline distT="0" distB="0" distL="114300" distR="114300">
                        <wp:extent cx="2561590" cy="1941195"/>
                        <wp:effectExtent l="0" t="0" r="7620" b="1905"/>
                        <wp:docPr id="31" name="图片 32" descr="57278415a53a8bdc3ca2da4722bf439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图片 32" descr="57278415a53a8bdc3ca2da4722bf439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1590" cy="1941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211FE4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2500" w:type="pct"/>
                  <w:gridSpan w:val="2"/>
                  <w:noWrap w:val="0"/>
                  <w:vAlign w:val="top"/>
                </w:tcPr>
                <w:p w14:paraId="066D5F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cs="宋体"/>
                      <w:b/>
                      <w:bCs/>
                      <w:color w:val="000000" w:themeColor="text1"/>
                      <w:szCs w:val="21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评价人员现场照片：左一评价师刁开红，中间业主代表，右一评价师覃月英</w:t>
                  </w:r>
                </w:p>
              </w:tc>
              <w:tc>
                <w:tcPr>
                  <w:tcW w:w="2500" w:type="pct"/>
                  <w:noWrap w:val="0"/>
                  <w:vAlign w:val="top"/>
                </w:tcPr>
                <w:p w14:paraId="391FDA4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ind w:firstLine="0" w:firstLineChars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评价人员现场照片：左一评价师覃月英，中间业主代表，右一评价师刁开红</w:t>
                  </w:r>
                </w:p>
              </w:tc>
            </w:tr>
          </w:tbl>
          <w:p w14:paraId="1056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Times New Roman"/>
                <w:b/>
                <w:color w:val="auto"/>
                <w:kern w:val="0"/>
                <w:sz w:val="18"/>
                <w:szCs w:val="18"/>
                <w:u w:val="none" w:color="000000"/>
                <w:lang w:val="en-US" w:eastAsia="zh-CN"/>
              </w:rPr>
            </w:pPr>
          </w:p>
        </w:tc>
      </w:tr>
    </w:tbl>
    <w:p w14:paraId="04E8536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altName w:val="仿宋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76AF6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623A5">
                          <w:pPr>
                            <w:pStyle w:val="1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7623A5">
                    <w:pPr>
                      <w:pStyle w:val="1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42BCC">
    <w:pPr>
      <w:pStyle w:val="20"/>
      <w:numPr>
        <w:ilvl w:val="6"/>
        <w:numId w:val="0"/>
      </w:numPr>
      <w:ind w:left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BFA1EA"/>
    <w:multiLevelType w:val="multilevel"/>
    <w:tmpl w:val="D5BFA1EA"/>
    <w:lvl w:ilvl="0" w:tentative="0">
      <w:start w:val="1"/>
      <w:numFmt w:val="decimal"/>
      <w:lvlText w:val="附件%1"/>
      <w:lvlJc w:val="right"/>
      <w:pPr>
        <w:tabs>
          <w:tab w:val="left" w:pos="432"/>
        </w:tabs>
        <w:ind w:left="432" w:hanging="144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F838388F"/>
    <w:multiLevelType w:val="multilevel"/>
    <w:tmpl w:val="F838388F"/>
    <w:lvl w:ilvl="0" w:tentative="0">
      <w:start w:val="1"/>
      <w:numFmt w:val="none"/>
      <w:pStyle w:val="38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35"/>
      <w:suff w:val="nothing"/>
      <w:lvlText w:val="%1%2　"/>
      <w:lvlJc w:val="left"/>
      <w:pPr>
        <w:ind w:left="142" w:firstLine="0"/>
      </w:pPr>
      <w:rPr>
        <w:rFonts w:hint="eastAsia" w:ascii="仿宋_GB2312" w:hAnsi="Times New Roman" w:eastAsia="仿宋_GB2312"/>
        <w:b/>
        <w:i w:val="0"/>
        <w:sz w:val="28"/>
        <w:szCs w:val="28"/>
      </w:rPr>
    </w:lvl>
    <w:lvl w:ilvl="2" w:tentative="0">
      <w:start w:val="1"/>
      <w:numFmt w:val="decimal"/>
      <w:pStyle w:val="34"/>
      <w:suff w:val="nothing"/>
      <w:lvlText w:val="%1%2.%3　"/>
      <w:lvlJc w:val="left"/>
      <w:pPr>
        <w:ind w:left="0" w:firstLine="0"/>
      </w:pPr>
      <w:rPr>
        <w:rFonts w:hint="eastAsia" w:ascii="仿宋_GB2312" w:hAnsi="Times New Roman" w:eastAsia="仿宋_GB2312"/>
        <w:b w:val="0"/>
        <w:i w:val="0"/>
        <w:sz w:val="28"/>
        <w:szCs w:val="28"/>
      </w:rPr>
    </w:lvl>
    <w:lvl w:ilvl="3" w:tentative="0">
      <w:start w:val="1"/>
      <w:numFmt w:val="decimal"/>
      <w:pStyle w:val="33"/>
      <w:suff w:val="nothing"/>
      <w:lvlText w:val="%1%2.%3.%4　"/>
      <w:lvlJc w:val="left"/>
      <w:pPr>
        <w:ind w:left="735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4" w:tentative="0">
      <w:start w:val="1"/>
      <w:numFmt w:val="decimal"/>
      <w:pStyle w:val="39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40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0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2BAE3838"/>
    <w:multiLevelType w:val="singleLevel"/>
    <w:tmpl w:val="2BAE3838"/>
    <w:lvl w:ilvl="0" w:tentative="0">
      <w:start w:val="1"/>
      <w:numFmt w:val="chineseCounting"/>
      <w:pStyle w:val="4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4022B334"/>
    <w:multiLevelType w:val="singleLevel"/>
    <w:tmpl w:val="4022B334"/>
    <w:lvl w:ilvl="0" w:tentative="0">
      <w:start w:val="1"/>
      <w:numFmt w:val="decimal"/>
      <w:pStyle w:val="44"/>
      <w:suff w:val="nothing"/>
      <w:lvlText w:val="（%1）"/>
      <w:lvlJc w:val="left"/>
      <w:pPr>
        <w:ind w:left="0" w:firstLine="397"/>
      </w:pPr>
      <w:rPr>
        <w:rFonts w:hint="default"/>
      </w:rPr>
    </w:lvl>
  </w:abstractNum>
  <w:abstractNum w:abstractNumId="4">
    <w:nsid w:val="6263E96F"/>
    <w:multiLevelType w:val="singleLevel"/>
    <w:tmpl w:val="6263E96F"/>
    <w:lvl w:ilvl="0" w:tentative="0">
      <w:start w:val="1"/>
      <w:numFmt w:val="decimal"/>
      <w:pStyle w:val="11"/>
      <w:suff w:val="nothing"/>
      <w:lvlText w:val="（%1）"/>
      <w:lvlJc w:val="left"/>
      <w:pPr>
        <w:ind w:left="0" w:firstLine="0"/>
      </w:pPr>
      <w:rPr>
        <w:rFonts w:hint="default"/>
        <w:sz w:val="28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5F27"/>
    <w:rsid w:val="00A64932"/>
    <w:rsid w:val="00B62B4D"/>
    <w:rsid w:val="01D80536"/>
    <w:rsid w:val="0271591C"/>
    <w:rsid w:val="027E4FEB"/>
    <w:rsid w:val="0280069E"/>
    <w:rsid w:val="02925140"/>
    <w:rsid w:val="02EA167E"/>
    <w:rsid w:val="03E06577"/>
    <w:rsid w:val="041F41F5"/>
    <w:rsid w:val="049F2426"/>
    <w:rsid w:val="04F3592C"/>
    <w:rsid w:val="04FE4606"/>
    <w:rsid w:val="052B6513"/>
    <w:rsid w:val="05656433"/>
    <w:rsid w:val="057A20E1"/>
    <w:rsid w:val="05FF24AC"/>
    <w:rsid w:val="068432FC"/>
    <w:rsid w:val="069677B2"/>
    <w:rsid w:val="06AB469B"/>
    <w:rsid w:val="07534E33"/>
    <w:rsid w:val="07AD418F"/>
    <w:rsid w:val="099C43EE"/>
    <w:rsid w:val="09B6040B"/>
    <w:rsid w:val="09F04A5A"/>
    <w:rsid w:val="0A370969"/>
    <w:rsid w:val="0A6C50A9"/>
    <w:rsid w:val="0AD66FDC"/>
    <w:rsid w:val="0AFF5714"/>
    <w:rsid w:val="0B022976"/>
    <w:rsid w:val="0C0444C5"/>
    <w:rsid w:val="0C62581F"/>
    <w:rsid w:val="0C665B0B"/>
    <w:rsid w:val="0C831895"/>
    <w:rsid w:val="0C92338D"/>
    <w:rsid w:val="0E2B76CE"/>
    <w:rsid w:val="0E3E61D9"/>
    <w:rsid w:val="0EB76DD9"/>
    <w:rsid w:val="0ECA58F5"/>
    <w:rsid w:val="0F034EAB"/>
    <w:rsid w:val="0F255367"/>
    <w:rsid w:val="0F317386"/>
    <w:rsid w:val="0F5372FC"/>
    <w:rsid w:val="0F6C2C1E"/>
    <w:rsid w:val="0FA94DFE"/>
    <w:rsid w:val="105B6F39"/>
    <w:rsid w:val="11032A4A"/>
    <w:rsid w:val="11586143"/>
    <w:rsid w:val="11704E57"/>
    <w:rsid w:val="11714438"/>
    <w:rsid w:val="11CE710E"/>
    <w:rsid w:val="11E21DA3"/>
    <w:rsid w:val="12435D4E"/>
    <w:rsid w:val="126D49BE"/>
    <w:rsid w:val="12881E71"/>
    <w:rsid w:val="12DA1AE3"/>
    <w:rsid w:val="13BA5B9C"/>
    <w:rsid w:val="13E866A1"/>
    <w:rsid w:val="148137BC"/>
    <w:rsid w:val="1494796A"/>
    <w:rsid w:val="153F5A55"/>
    <w:rsid w:val="15727C7A"/>
    <w:rsid w:val="1574012A"/>
    <w:rsid w:val="15804BC3"/>
    <w:rsid w:val="15FA4976"/>
    <w:rsid w:val="16396624"/>
    <w:rsid w:val="169D3553"/>
    <w:rsid w:val="183A4E58"/>
    <w:rsid w:val="18597037"/>
    <w:rsid w:val="18AC58E6"/>
    <w:rsid w:val="18CD4E3E"/>
    <w:rsid w:val="18D05E62"/>
    <w:rsid w:val="18E37BDF"/>
    <w:rsid w:val="19560718"/>
    <w:rsid w:val="1A2F7AD2"/>
    <w:rsid w:val="1A633C55"/>
    <w:rsid w:val="1ABA2925"/>
    <w:rsid w:val="1AD9749D"/>
    <w:rsid w:val="1B102641"/>
    <w:rsid w:val="1BD9336F"/>
    <w:rsid w:val="1BE41DA2"/>
    <w:rsid w:val="1BF04B72"/>
    <w:rsid w:val="1C0A3FEB"/>
    <w:rsid w:val="1C1D7393"/>
    <w:rsid w:val="1C3F4596"/>
    <w:rsid w:val="1CC832E0"/>
    <w:rsid w:val="1CD270F8"/>
    <w:rsid w:val="1CF663B3"/>
    <w:rsid w:val="1D003260"/>
    <w:rsid w:val="1D855C9C"/>
    <w:rsid w:val="1D91352E"/>
    <w:rsid w:val="1D934A57"/>
    <w:rsid w:val="1E020668"/>
    <w:rsid w:val="1E45403A"/>
    <w:rsid w:val="1E6006AC"/>
    <w:rsid w:val="1E6C1577"/>
    <w:rsid w:val="1E9F1E92"/>
    <w:rsid w:val="1F204D21"/>
    <w:rsid w:val="1F803278"/>
    <w:rsid w:val="1FC013F4"/>
    <w:rsid w:val="20215745"/>
    <w:rsid w:val="210C2DC4"/>
    <w:rsid w:val="214E582A"/>
    <w:rsid w:val="21673E14"/>
    <w:rsid w:val="222C27CB"/>
    <w:rsid w:val="22674EDE"/>
    <w:rsid w:val="23FD12B4"/>
    <w:rsid w:val="248B72FC"/>
    <w:rsid w:val="24DC0883"/>
    <w:rsid w:val="2545309A"/>
    <w:rsid w:val="25AE6BDC"/>
    <w:rsid w:val="25B318F4"/>
    <w:rsid w:val="2648525A"/>
    <w:rsid w:val="26C848AF"/>
    <w:rsid w:val="26F16A5F"/>
    <w:rsid w:val="27F24574"/>
    <w:rsid w:val="280B73D9"/>
    <w:rsid w:val="2876311D"/>
    <w:rsid w:val="289C18BC"/>
    <w:rsid w:val="296C6D10"/>
    <w:rsid w:val="29A2286D"/>
    <w:rsid w:val="2A794DC8"/>
    <w:rsid w:val="2AAA1F8B"/>
    <w:rsid w:val="2AF23A05"/>
    <w:rsid w:val="2B715D46"/>
    <w:rsid w:val="2BF7456F"/>
    <w:rsid w:val="2BFD1938"/>
    <w:rsid w:val="2C007662"/>
    <w:rsid w:val="2C1A1178"/>
    <w:rsid w:val="2C4F5A61"/>
    <w:rsid w:val="2CE7151E"/>
    <w:rsid w:val="2D1F071D"/>
    <w:rsid w:val="2D6754DE"/>
    <w:rsid w:val="2D6A01DB"/>
    <w:rsid w:val="2D866934"/>
    <w:rsid w:val="2DDC7ADB"/>
    <w:rsid w:val="2DE85A95"/>
    <w:rsid w:val="2DEB1164"/>
    <w:rsid w:val="2DEF61AB"/>
    <w:rsid w:val="2E0C49FF"/>
    <w:rsid w:val="2ECE7DB0"/>
    <w:rsid w:val="2F1576A2"/>
    <w:rsid w:val="2FDE0796"/>
    <w:rsid w:val="306674FB"/>
    <w:rsid w:val="30A35E59"/>
    <w:rsid w:val="30E241D3"/>
    <w:rsid w:val="30EC4708"/>
    <w:rsid w:val="31534218"/>
    <w:rsid w:val="31A9743D"/>
    <w:rsid w:val="323C2C9C"/>
    <w:rsid w:val="32810F57"/>
    <w:rsid w:val="32EB5294"/>
    <w:rsid w:val="33567FAB"/>
    <w:rsid w:val="33624526"/>
    <w:rsid w:val="339574B1"/>
    <w:rsid w:val="33F57FBD"/>
    <w:rsid w:val="34386CBA"/>
    <w:rsid w:val="346A6E3F"/>
    <w:rsid w:val="34773854"/>
    <w:rsid w:val="34B32468"/>
    <w:rsid w:val="34EC7B40"/>
    <w:rsid w:val="350C167B"/>
    <w:rsid w:val="35D579E0"/>
    <w:rsid w:val="362B50E2"/>
    <w:rsid w:val="365807B3"/>
    <w:rsid w:val="368B1099"/>
    <w:rsid w:val="368D4C71"/>
    <w:rsid w:val="383B4534"/>
    <w:rsid w:val="385C2B33"/>
    <w:rsid w:val="38D94467"/>
    <w:rsid w:val="393B6599"/>
    <w:rsid w:val="39B12665"/>
    <w:rsid w:val="39D709A6"/>
    <w:rsid w:val="39EF3AD1"/>
    <w:rsid w:val="3A6A66A9"/>
    <w:rsid w:val="3AAB0C3B"/>
    <w:rsid w:val="3B8E62F5"/>
    <w:rsid w:val="3C0B7B0F"/>
    <w:rsid w:val="3C5D5D2A"/>
    <w:rsid w:val="3C6272CB"/>
    <w:rsid w:val="3D557BCC"/>
    <w:rsid w:val="3D6360A3"/>
    <w:rsid w:val="3D8E1C96"/>
    <w:rsid w:val="3DA36040"/>
    <w:rsid w:val="3DEE31B7"/>
    <w:rsid w:val="3DFB04BF"/>
    <w:rsid w:val="3E1D062A"/>
    <w:rsid w:val="3E3D3671"/>
    <w:rsid w:val="3F4A7F61"/>
    <w:rsid w:val="3F6D163E"/>
    <w:rsid w:val="405919E1"/>
    <w:rsid w:val="40695DE6"/>
    <w:rsid w:val="412C606A"/>
    <w:rsid w:val="413B688B"/>
    <w:rsid w:val="414E751E"/>
    <w:rsid w:val="41960A04"/>
    <w:rsid w:val="41D455D7"/>
    <w:rsid w:val="41DD4469"/>
    <w:rsid w:val="42500DE2"/>
    <w:rsid w:val="428D6F9E"/>
    <w:rsid w:val="42E878C6"/>
    <w:rsid w:val="43B466CA"/>
    <w:rsid w:val="442858E1"/>
    <w:rsid w:val="453C4E2A"/>
    <w:rsid w:val="45C973D0"/>
    <w:rsid w:val="46235716"/>
    <w:rsid w:val="46880C31"/>
    <w:rsid w:val="46FC4178"/>
    <w:rsid w:val="47144581"/>
    <w:rsid w:val="47C34DC8"/>
    <w:rsid w:val="47CB4E09"/>
    <w:rsid w:val="47E7268A"/>
    <w:rsid w:val="48F47710"/>
    <w:rsid w:val="48FE51A8"/>
    <w:rsid w:val="490F4DEA"/>
    <w:rsid w:val="49996FC0"/>
    <w:rsid w:val="49E669E4"/>
    <w:rsid w:val="49F772E6"/>
    <w:rsid w:val="4A552CE7"/>
    <w:rsid w:val="4AC80D07"/>
    <w:rsid w:val="4B161C2E"/>
    <w:rsid w:val="4C3C7DAD"/>
    <w:rsid w:val="4C630C61"/>
    <w:rsid w:val="4C926BC9"/>
    <w:rsid w:val="4CB120A1"/>
    <w:rsid w:val="4D0043BE"/>
    <w:rsid w:val="4D02128B"/>
    <w:rsid w:val="4D640287"/>
    <w:rsid w:val="4D676EC0"/>
    <w:rsid w:val="4D9F1EE6"/>
    <w:rsid w:val="4DCF7936"/>
    <w:rsid w:val="4DF95DBC"/>
    <w:rsid w:val="4E821618"/>
    <w:rsid w:val="4EA62A4D"/>
    <w:rsid w:val="4EDB6B6F"/>
    <w:rsid w:val="4F7500A2"/>
    <w:rsid w:val="4FB737C8"/>
    <w:rsid w:val="50505D8F"/>
    <w:rsid w:val="506F403E"/>
    <w:rsid w:val="507032D4"/>
    <w:rsid w:val="51020E71"/>
    <w:rsid w:val="51FE5F02"/>
    <w:rsid w:val="524E6196"/>
    <w:rsid w:val="52894813"/>
    <w:rsid w:val="52C0722B"/>
    <w:rsid w:val="53071EA5"/>
    <w:rsid w:val="53735D8F"/>
    <w:rsid w:val="53890B0C"/>
    <w:rsid w:val="54027D94"/>
    <w:rsid w:val="54101477"/>
    <w:rsid w:val="54900490"/>
    <w:rsid w:val="55560F7B"/>
    <w:rsid w:val="55717F91"/>
    <w:rsid w:val="55757180"/>
    <w:rsid w:val="55903B39"/>
    <w:rsid w:val="55CF47D0"/>
    <w:rsid w:val="55FE7B7D"/>
    <w:rsid w:val="56037855"/>
    <w:rsid w:val="566540CD"/>
    <w:rsid w:val="56BE7FDF"/>
    <w:rsid w:val="56C371F5"/>
    <w:rsid w:val="571360E1"/>
    <w:rsid w:val="576D145D"/>
    <w:rsid w:val="57BC20E3"/>
    <w:rsid w:val="57DD73D5"/>
    <w:rsid w:val="57E64C2E"/>
    <w:rsid w:val="58350A83"/>
    <w:rsid w:val="58480E56"/>
    <w:rsid w:val="58576A7B"/>
    <w:rsid w:val="58B4279F"/>
    <w:rsid w:val="58B87B48"/>
    <w:rsid w:val="58BF461E"/>
    <w:rsid w:val="597C1398"/>
    <w:rsid w:val="5A644234"/>
    <w:rsid w:val="5AD90F23"/>
    <w:rsid w:val="5AE614AE"/>
    <w:rsid w:val="5AEF428F"/>
    <w:rsid w:val="5B4E1095"/>
    <w:rsid w:val="5B932D7B"/>
    <w:rsid w:val="5BBE1A1E"/>
    <w:rsid w:val="5C0056E3"/>
    <w:rsid w:val="5C096C7C"/>
    <w:rsid w:val="5C191AE4"/>
    <w:rsid w:val="5C1A6687"/>
    <w:rsid w:val="5C712CEA"/>
    <w:rsid w:val="5C794F8A"/>
    <w:rsid w:val="5CB318A3"/>
    <w:rsid w:val="5DBF5198"/>
    <w:rsid w:val="5E1614EB"/>
    <w:rsid w:val="5E28182F"/>
    <w:rsid w:val="5F297CB3"/>
    <w:rsid w:val="5F303C11"/>
    <w:rsid w:val="5F86725D"/>
    <w:rsid w:val="601479AF"/>
    <w:rsid w:val="61343965"/>
    <w:rsid w:val="61453BA6"/>
    <w:rsid w:val="61B16453"/>
    <w:rsid w:val="63043FE7"/>
    <w:rsid w:val="6368184D"/>
    <w:rsid w:val="63E325AC"/>
    <w:rsid w:val="643B38FE"/>
    <w:rsid w:val="64C80818"/>
    <w:rsid w:val="64FE298C"/>
    <w:rsid w:val="663C7C5F"/>
    <w:rsid w:val="676A4610"/>
    <w:rsid w:val="67894D74"/>
    <w:rsid w:val="67F0072F"/>
    <w:rsid w:val="681E5CE3"/>
    <w:rsid w:val="682D4420"/>
    <w:rsid w:val="68455AB4"/>
    <w:rsid w:val="68914015"/>
    <w:rsid w:val="68A175AA"/>
    <w:rsid w:val="69016156"/>
    <w:rsid w:val="69A01A5A"/>
    <w:rsid w:val="69E501DD"/>
    <w:rsid w:val="6A764E61"/>
    <w:rsid w:val="6AB37D1D"/>
    <w:rsid w:val="6ABF6769"/>
    <w:rsid w:val="6AD43C91"/>
    <w:rsid w:val="6B17014C"/>
    <w:rsid w:val="6B2E38D4"/>
    <w:rsid w:val="6B87372B"/>
    <w:rsid w:val="6C102DAC"/>
    <w:rsid w:val="6C57189D"/>
    <w:rsid w:val="6C776701"/>
    <w:rsid w:val="6CB55F70"/>
    <w:rsid w:val="6CE75D5F"/>
    <w:rsid w:val="6D133A87"/>
    <w:rsid w:val="6D3E4FA2"/>
    <w:rsid w:val="6DAC6876"/>
    <w:rsid w:val="6DCA5193"/>
    <w:rsid w:val="6E7F070A"/>
    <w:rsid w:val="6E9955BC"/>
    <w:rsid w:val="6F67404F"/>
    <w:rsid w:val="6FB1261C"/>
    <w:rsid w:val="6FD3797E"/>
    <w:rsid w:val="705B3A64"/>
    <w:rsid w:val="71487797"/>
    <w:rsid w:val="723767E7"/>
    <w:rsid w:val="72572EF3"/>
    <w:rsid w:val="72740C55"/>
    <w:rsid w:val="72870582"/>
    <w:rsid w:val="72932477"/>
    <w:rsid w:val="7295118A"/>
    <w:rsid w:val="72BF0CD3"/>
    <w:rsid w:val="730F2665"/>
    <w:rsid w:val="74160B04"/>
    <w:rsid w:val="743444ED"/>
    <w:rsid w:val="743761CA"/>
    <w:rsid w:val="7445208B"/>
    <w:rsid w:val="74540A29"/>
    <w:rsid w:val="755C0A81"/>
    <w:rsid w:val="75770444"/>
    <w:rsid w:val="75E21BF7"/>
    <w:rsid w:val="760807B1"/>
    <w:rsid w:val="76A5227C"/>
    <w:rsid w:val="778D2BD8"/>
    <w:rsid w:val="78012FF4"/>
    <w:rsid w:val="78A25EF7"/>
    <w:rsid w:val="7933682A"/>
    <w:rsid w:val="79414A0B"/>
    <w:rsid w:val="79A67D23"/>
    <w:rsid w:val="79C51E45"/>
    <w:rsid w:val="79D53B90"/>
    <w:rsid w:val="7A2405F1"/>
    <w:rsid w:val="7A244EE6"/>
    <w:rsid w:val="7A2618F6"/>
    <w:rsid w:val="7A6B6FD1"/>
    <w:rsid w:val="7B7C6624"/>
    <w:rsid w:val="7C873CDE"/>
    <w:rsid w:val="7CA915F3"/>
    <w:rsid w:val="7D3D23DC"/>
    <w:rsid w:val="7D4A1CEC"/>
    <w:rsid w:val="7D8771F6"/>
    <w:rsid w:val="7E09553B"/>
    <w:rsid w:val="7E8D39C8"/>
    <w:rsid w:val="7EC304BC"/>
    <w:rsid w:val="7ED01F3F"/>
    <w:rsid w:val="7EE50A3C"/>
    <w:rsid w:val="7EFF3CE8"/>
    <w:rsid w:val="7F01448F"/>
    <w:rsid w:val="7F0A6F98"/>
    <w:rsid w:val="7F202146"/>
    <w:rsid w:val="7F90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0" w:firstLineChars="0"/>
      <w:jc w:val="center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adjustRightInd w:val="0"/>
      <w:snapToGrid w:val="0"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semiHidden/>
    <w:unhideWhenUsed/>
    <w:qFormat/>
    <w:uiPriority w:val="0"/>
    <w:pPr>
      <w:keepNext/>
      <w:keepLines/>
      <w:adjustRightInd w:val="0"/>
      <w:snapToGrid w:val="0"/>
      <w:spacing w:before="0" w:beforeLines="0" w:after="0" w:afterLines="0"/>
      <w:ind w:firstLine="0" w:firstLineChars="0"/>
      <w:jc w:val="left"/>
      <w:outlineLvl w:val="1"/>
    </w:pPr>
    <w:rPr>
      <w:rFonts w:ascii="Times New Roman" w:hAnsi="Times New Roman" w:eastAsia="黑体"/>
      <w:b/>
      <w:bCs/>
      <w:color w:val="auto"/>
      <w:sz w:val="32"/>
      <w:szCs w:val="28"/>
    </w:rPr>
  </w:style>
  <w:style w:type="paragraph" w:styleId="4">
    <w:name w:val="heading 3"/>
    <w:basedOn w:val="1"/>
    <w:next w:val="1"/>
    <w:link w:val="31"/>
    <w:semiHidden/>
    <w:unhideWhenUsed/>
    <w:qFormat/>
    <w:uiPriority w:val="0"/>
    <w:pPr>
      <w:keepNext/>
      <w:keepLines/>
      <w:adjustRightInd w:val="0"/>
      <w:snapToGrid w:val="0"/>
      <w:spacing w:line="360" w:lineRule="auto"/>
      <w:ind w:firstLine="0" w:firstLineChars="0"/>
      <w:jc w:val="left"/>
      <w:outlineLvl w:val="2"/>
    </w:pPr>
    <w:rPr>
      <w:rFonts w:ascii="Times New Roman" w:hAnsi="Times New Roman" w:eastAsia="宋体"/>
      <w:b/>
      <w:bCs/>
      <w:szCs w:val="21"/>
    </w:rPr>
  </w:style>
  <w:style w:type="paragraph" w:styleId="5">
    <w:name w:val="heading 4"/>
    <w:basedOn w:val="1"/>
    <w:next w:val="1"/>
    <w:link w:val="32"/>
    <w:unhideWhenUsed/>
    <w:qFormat/>
    <w:uiPriority w:val="0"/>
    <w:pPr>
      <w:keepNext/>
      <w:adjustRightInd w:val="0"/>
      <w:snapToGrid w:val="0"/>
      <w:spacing w:line="360" w:lineRule="auto"/>
      <w:ind w:firstLine="0" w:firstLineChars="0"/>
      <w:outlineLvl w:val="3"/>
    </w:pPr>
    <w:rPr>
      <w:rFonts w:ascii="Times New Roman" w:hAnsi="Times New Roman" w:eastAsia="宋体"/>
      <w:b/>
      <w:bCs/>
      <w:szCs w:val="21"/>
    </w:rPr>
  </w:style>
  <w:style w:type="paragraph" w:styleId="6">
    <w:name w:val="heading 5"/>
    <w:basedOn w:val="1"/>
    <w:next w:val="1"/>
    <w:link w:val="37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jc w:val="left"/>
      <w:outlineLvl w:val="4"/>
    </w:pPr>
    <w:rPr>
      <w:rFonts w:ascii="Times New Roman" w:hAnsi="Times New Roman" w:eastAsia="宋体" w:cs="Times New Roman"/>
      <w:b/>
      <w:sz w:val="28"/>
      <w:szCs w:val="24"/>
    </w:rPr>
  </w:style>
  <w:style w:type="paragraph" w:styleId="7">
    <w:name w:val="heading 6"/>
    <w:basedOn w:val="1"/>
    <w:next w:val="1"/>
    <w:link w:val="36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0"/>
        <w:tab w:val="left" w:pos="2520"/>
      </w:tabs>
      <w:adjustRightInd w:val="0"/>
      <w:ind w:left="1152" w:hanging="1152" w:firstLineChars="0"/>
      <w:outlineLvl w:val="5"/>
    </w:pPr>
    <w:rPr>
      <w:rFonts w:cstheme="majorBidi"/>
      <w:b/>
      <w:bCs/>
    </w:rPr>
  </w:style>
  <w:style w:type="paragraph" w:styleId="8">
    <w:name w:val="heading 7"/>
    <w:basedOn w:val="1"/>
    <w:next w:val="1"/>
    <w:link w:val="46"/>
    <w:semiHidden/>
    <w:unhideWhenUsed/>
    <w:qFormat/>
    <w:uiPriority w:val="0"/>
    <w:pPr>
      <w:keepNext/>
      <w:keepLines/>
      <w:numPr>
        <w:ilvl w:val="6"/>
        <w:numId w:val="1"/>
      </w:numPr>
      <w:adjustRightInd w:val="0"/>
      <w:ind w:left="1296" w:hanging="1296" w:firstLineChars="0"/>
      <w:outlineLvl w:val="6"/>
    </w:pPr>
    <w:rPr>
      <w:rFonts w:ascii="宋体" w:hAnsi="宋体" w:cstheme="minorBidi"/>
      <w:b/>
      <w:bCs/>
      <w:kern w:val="2"/>
      <w:szCs w:val="24"/>
      <w:lang w:eastAsia="zh-CN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Lines="0" w:beforeAutospacing="0" w:afterLines="0" w:afterAutospacing="0" w:line="360" w:lineRule="auto"/>
      <w:ind w:left="1440" w:hanging="1440" w:firstLineChars="0"/>
      <w:jc w:val="center"/>
      <w:outlineLvl w:val="7"/>
    </w:pPr>
    <w:rPr>
      <w:rFonts w:ascii="Arial" w:hAnsi="Arial" w:eastAsia="宋体" w:cs="Arial"/>
      <w:b/>
      <w:snapToGrid w:val="0"/>
      <w:color w:val="000000"/>
      <w:kern w:val="0"/>
      <w:sz w:val="32"/>
      <w:szCs w:val="21"/>
      <w:lang w:eastAsia="en-US"/>
    </w:rPr>
  </w:style>
  <w:style w:type="paragraph" w:styleId="10">
    <w:name w:val="heading 9"/>
    <w:basedOn w:val="1"/>
    <w:next w:val="1"/>
    <w:link w:val="47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0"/>
      </w:tabs>
      <w:spacing w:after="50" w:afterLines="50" w:line="240" w:lineRule="auto"/>
      <w:ind w:left="1584" w:hanging="1584" w:firstLineChars="0"/>
      <w:jc w:val="center"/>
      <w:outlineLvl w:val="8"/>
    </w:pPr>
    <w:rPr>
      <w:rFonts w:eastAsia="宋体" w:asciiTheme="majorAscii" w:hAnsiTheme="majorAscii" w:cstheme="majorBidi"/>
      <w:b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numPr>
        <w:ilvl w:val="0"/>
        <w:numId w:val="2"/>
      </w:numPr>
      <w:ind w:firstLine="420" w:firstLineChars="200"/>
    </w:pPr>
    <w:rPr>
      <w:rFonts w:eastAsia="宋体"/>
    </w:rPr>
  </w:style>
  <w:style w:type="paragraph" w:styleId="12">
    <w:name w:val="Document Map"/>
    <w:basedOn w:val="1"/>
    <w:link w:val="50"/>
    <w:qFormat/>
    <w:uiPriority w:val="0"/>
    <w:pPr>
      <w:adjustRightInd w:val="0"/>
      <w:snapToGrid w:val="0"/>
      <w:ind w:firstLine="0" w:firstLineChars="0"/>
      <w:jc w:val="center"/>
    </w:pPr>
    <w:rPr>
      <w:rFonts w:ascii="宋体" w:hAnsi="宋体" w:eastAsia="宋体"/>
      <w:b/>
      <w:sz w:val="24"/>
      <w:szCs w:val="18"/>
    </w:rPr>
  </w:style>
  <w:style w:type="paragraph" w:styleId="13">
    <w:name w:val="toa heading"/>
    <w:basedOn w:val="1"/>
    <w:next w:val="1"/>
    <w:qFormat/>
    <w:uiPriority w:val="0"/>
    <w:pPr>
      <w:autoSpaceDE/>
      <w:autoSpaceDN/>
      <w:adjustRightInd w:val="0"/>
      <w:snapToGrid w:val="0"/>
      <w:spacing w:line="288" w:lineRule="auto"/>
      <w:jc w:val="left"/>
    </w:pPr>
    <w:rPr>
      <w:rFonts w:ascii="Calibri" w:hAnsi="Calibri" w:eastAsia="宋体" w:cs="Calibri"/>
      <w:smallCaps/>
      <w:sz w:val="21"/>
      <w:szCs w:val="22"/>
      <w:u w:val="single"/>
    </w:rPr>
  </w:style>
  <w:style w:type="paragraph" w:styleId="14">
    <w:name w:val="annotation text"/>
    <w:basedOn w:val="1"/>
    <w:qFormat/>
    <w:uiPriority w:val="0"/>
    <w:pPr>
      <w:spacing w:line="240" w:lineRule="atLeast"/>
      <w:jc w:val="left"/>
    </w:pPr>
    <w:rPr>
      <w:rFonts w:ascii="Tahoma" w:hAnsi="Tahoma" w:eastAsia="微软雅黑" w:cstheme="minorBidi"/>
      <w:sz w:val="22"/>
      <w:szCs w:val="22"/>
    </w:rPr>
  </w:style>
  <w:style w:type="paragraph" w:styleId="15">
    <w:name w:val="Body Text"/>
    <w:basedOn w:val="1"/>
    <w:next w:val="16"/>
    <w:link w:val="49"/>
    <w:qFormat/>
    <w:uiPriority w:val="0"/>
    <w:pPr>
      <w:adjustRightInd w:val="0"/>
      <w:snapToGrid w:val="0"/>
      <w:jc w:val="left"/>
    </w:pPr>
    <w:rPr>
      <w:rFonts w:ascii="宋体" w:hAnsi="宋体" w:eastAsia="宋体"/>
      <w:kern w:val="0"/>
      <w:sz w:val="28"/>
      <w:szCs w:val="24"/>
    </w:rPr>
  </w:style>
  <w:style w:type="paragraph" w:styleId="16">
    <w:name w:val="toc 5"/>
    <w:basedOn w:val="1"/>
    <w:next w:val="1"/>
    <w:qFormat/>
    <w:uiPriority w:val="0"/>
    <w:pPr>
      <w:ind w:left="1260" w:leftChars="600"/>
      <w:jc w:val="left"/>
    </w:pPr>
    <w:rPr>
      <w:rFonts w:ascii="Calibri" w:hAnsi="Calibri" w:cs="Calibri" w:eastAsiaTheme="minorEastAsia"/>
      <w:sz w:val="21"/>
      <w:szCs w:val="18"/>
    </w:rPr>
  </w:style>
  <w:style w:type="paragraph" w:styleId="17">
    <w:name w:val="Body Text Indent"/>
    <w:basedOn w:val="1"/>
    <w:qFormat/>
    <w:uiPriority w:val="0"/>
    <w:pPr>
      <w:spacing w:afterLines="0" w:afterAutospacing="0"/>
      <w:ind w:left="0" w:leftChars="0"/>
      <w:jc w:val="left"/>
    </w:pPr>
    <w:rPr>
      <w:rFonts w:ascii="Times New Roman" w:hAnsi="Times New Roman" w:eastAsia="宋体"/>
      <w:sz w:val="24"/>
    </w:rPr>
  </w:style>
  <w:style w:type="paragraph" w:styleId="18">
    <w:name w:val="toc 3"/>
    <w:basedOn w:val="1"/>
    <w:next w:val="1"/>
    <w:link w:val="48"/>
    <w:qFormat/>
    <w:uiPriority w:val="0"/>
    <w:pPr>
      <w:spacing w:line="240" w:lineRule="auto"/>
      <w:ind w:left="1020" w:hanging="454" w:firstLineChars="0"/>
      <w:jc w:val="left"/>
    </w:pPr>
    <w:rPr>
      <w:rFonts w:ascii="汉仪仿宋简" w:hAnsi="汉仪仿宋简" w:eastAsia="宋体" w:cs="Times New Roman"/>
      <w:sz w:val="21"/>
      <w:szCs w:val="24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0">
    <w:name w:val="header"/>
    <w:basedOn w:val="1"/>
    <w:qFormat/>
    <w:uiPriority w:val="0"/>
    <w:pPr>
      <w:numPr>
        <w:ilvl w:val="6"/>
        <w:numId w:val="3"/>
      </w:num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both"/>
      <w:outlineLvl w:val="9"/>
    </w:pPr>
    <w:rPr>
      <w:sz w:val="18"/>
    </w:rPr>
  </w:style>
  <w:style w:type="paragraph" w:styleId="21">
    <w:name w:val="toc 1"/>
    <w:basedOn w:val="1"/>
    <w:next w:val="1"/>
    <w:link w:val="41"/>
    <w:qFormat/>
    <w:uiPriority w:val="0"/>
    <w:pPr>
      <w:adjustRightInd w:val="0"/>
      <w:snapToGrid w:val="0"/>
      <w:spacing w:line="312" w:lineRule="auto"/>
      <w:jc w:val="left"/>
    </w:pPr>
    <w:rPr>
      <w:rFonts w:asciiTheme="minorAscii" w:hAnsiTheme="minorAscii" w:eastAsiaTheme="minorEastAsia"/>
      <w:b/>
      <w:bCs/>
      <w:caps/>
      <w:sz w:val="20"/>
      <w:szCs w:val="20"/>
    </w:rPr>
  </w:style>
  <w:style w:type="paragraph" w:styleId="22">
    <w:name w:val="toc 4"/>
    <w:basedOn w:val="1"/>
    <w:next w:val="1"/>
    <w:qFormat/>
    <w:uiPriority w:val="0"/>
    <w:pPr>
      <w:adjustRightInd w:val="0"/>
      <w:snapToGrid w:val="0"/>
      <w:spacing w:line="240" w:lineRule="auto"/>
      <w:ind w:left="0" w:leftChars="0" w:firstLine="1928" w:firstLineChars="600"/>
      <w:jc w:val="left"/>
    </w:pPr>
    <w:rPr>
      <w:rFonts w:ascii="Times New Roman" w:hAnsi="Times New Roman" w:eastAsia="宋体"/>
      <w:sz w:val="21"/>
    </w:rPr>
  </w:style>
  <w:style w:type="paragraph" w:styleId="23">
    <w:name w:val="toc 2"/>
    <w:basedOn w:val="1"/>
    <w:next w:val="1"/>
    <w:qFormat/>
    <w:uiPriority w:val="0"/>
    <w:pPr>
      <w:adjustRightInd w:val="0"/>
      <w:snapToGrid w:val="0"/>
      <w:spacing w:line="312" w:lineRule="auto"/>
      <w:ind w:left="210"/>
      <w:jc w:val="left"/>
    </w:pPr>
    <w:rPr>
      <w:rFonts w:ascii="Times New Roman" w:hAnsi="Times New Roman" w:eastAsia="宋体"/>
      <w:smallCaps/>
      <w:sz w:val="20"/>
      <w:szCs w:val="20"/>
    </w:rPr>
  </w:style>
  <w:style w:type="paragraph" w:styleId="24">
    <w:name w:val="Body Text First Indent 2"/>
    <w:basedOn w:val="17"/>
    <w:qFormat/>
    <w:uiPriority w:val="0"/>
    <w:pPr>
      <w:ind w:firstLine="420" w:firstLineChars="200"/>
    </w:p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Hyperlink"/>
    <w:qFormat/>
    <w:uiPriority w:val="0"/>
    <w:rPr>
      <w:rFonts w:ascii="Calibri" w:hAnsi="Calibri" w:eastAsia="宋体"/>
      <w:color w:val="auto"/>
      <w:sz w:val="21"/>
      <w:u w:val="none"/>
    </w:rPr>
  </w:style>
  <w:style w:type="character" w:customStyle="1" w:styleId="29">
    <w:name w:val="标题 2 字符"/>
    <w:basedOn w:val="27"/>
    <w:link w:val="3"/>
    <w:qFormat/>
    <w:uiPriority w:val="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30">
    <w:name w:val="标题 1 字符"/>
    <w:basedOn w:val="27"/>
    <w:link w:val="2"/>
    <w:qFormat/>
    <w:uiPriority w:val="9"/>
    <w:rPr>
      <w:rFonts w:ascii="Times New Roman" w:hAnsi="Times New Roman" w:eastAsia="黑体" w:cs="Times New Roman"/>
      <w:b/>
      <w:bCs/>
      <w:snapToGrid w:val="0"/>
      <w:kern w:val="0"/>
      <w:sz w:val="44"/>
      <w:szCs w:val="44"/>
    </w:rPr>
  </w:style>
  <w:style w:type="character" w:customStyle="1" w:styleId="31">
    <w:name w:val="标题 3 字符1"/>
    <w:link w:val="4"/>
    <w:qFormat/>
    <w:uiPriority w:val="9"/>
    <w:rPr>
      <w:rFonts w:hint="eastAsia" w:ascii="Times New Roman" w:hAnsi="Times New Roman" w:eastAsia="宋体" w:cs="Times New Roman"/>
      <w:bCs/>
      <w:snapToGrid w:val="0"/>
      <w:color w:val="000000"/>
      <w:kern w:val="2"/>
      <w:sz w:val="24"/>
      <w:szCs w:val="21"/>
      <w:lang w:val="zh-CN" w:eastAsia="zh-CN"/>
    </w:rPr>
  </w:style>
  <w:style w:type="character" w:customStyle="1" w:styleId="32">
    <w:name w:val="标题 4 字符"/>
    <w:basedOn w:val="27"/>
    <w:link w:val="5"/>
    <w:qFormat/>
    <w:uiPriority w:val="0"/>
    <w:rPr>
      <w:rFonts w:ascii="Times New Roman" w:hAnsi="Times New Roman" w:eastAsia="宋体" w:cstheme="majorBidi"/>
      <w:color w:val="000000" w:themeColor="text1"/>
      <w:sz w:val="28"/>
      <w:szCs w:val="21"/>
      <w14:textFill>
        <w14:solidFill>
          <w14:schemeClr w14:val="tx1"/>
        </w14:solidFill>
      </w14:textFill>
      <w14:ligatures w14:val="none"/>
    </w:rPr>
  </w:style>
  <w:style w:type="paragraph" w:customStyle="1" w:styleId="33">
    <w:name w:val="二级条标题"/>
    <w:basedOn w:val="34"/>
    <w:qFormat/>
    <w:uiPriority w:val="0"/>
    <w:pPr>
      <w:numPr>
        <w:ilvl w:val="3"/>
      </w:numPr>
      <w:tabs>
        <w:tab w:val="left" w:pos="210"/>
      </w:tabs>
      <w:spacing w:before="50" w:beforeLines="50" w:after="50" w:afterLines="50"/>
      <w:ind w:left="735"/>
      <w:jc w:val="left"/>
      <w:outlineLvl w:val="3"/>
    </w:pPr>
    <w:rPr>
      <w:szCs w:val="21"/>
    </w:rPr>
  </w:style>
  <w:style w:type="paragraph" w:customStyle="1" w:styleId="34">
    <w:name w:val="一级条标题"/>
    <w:qFormat/>
    <w:uiPriority w:val="0"/>
    <w:pPr>
      <w:numPr>
        <w:ilvl w:val="2"/>
        <w:numId w:val="3"/>
      </w:numPr>
      <w:adjustRightInd w:val="0"/>
      <w:snapToGrid w:val="0"/>
      <w:spacing w:line="360" w:lineRule="auto"/>
      <w:ind w:left="0"/>
      <w:outlineLvl w:val="2"/>
    </w:pPr>
    <w:rPr>
      <w:rFonts w:ascii="黑体" w:hAnsi="黑体" w:eastAsia="宋体" w:cs="Times New Roman"/>
      <w:b/>
      <w:sz w:val="28"/>
      <w:szCs w:val="21"/>
      <w:lang w:val="en-US" w:eastAsia="zh-CN" w:bidi="ar-SA"/>
    </w:rPr>
  </w:style>
  <w:style w:type="paragraph" w:customStyle="1" w:styleId="35">
    <w:name w:val="章标题"/>
    <w:qFormat/>
    <w:uiPriority w:val="0"/>
    <w:pPr>
      <w:numPr>
        <w:ilvl w:val="1"/>
        <w:numId w:val="3"/>
      </w:numPr>
      <w:adjustRightInd w:val="0"/>
      <w:snapToGrid w:val="0"/>
      <w:spacing w:line="360" w:lineRule="auto"/>
      <w:ind w:left="0"/>
      <w:jc w:val="both"/>
      <w:outlineLvl w:val="1"/>
    </w:pPr>
    <w:rPr>
      <w:rFonts w:ascii="黑体" w:hAnsi="黑体" w:eastAsia="黑体" w:cstheme="minorBidi"/>
      <w:sz w:val="21"/>
      <w:lang w:val="en-US" w:eastAsia="zh-CN" w:bidi="ar-SA"/>
    </w:rPr>
  </w:style>
  <w:style w:type="character" w:customStyle="1" w:styleId="36">
    <w:name w:val="标题 6 字符"/>
    <w:basedOn w:val="27"/>
    <w:link w:val="7"/>
    <w:qFormat/>
    <w:uiPriority w:val="9"/>
    <w:rPr>
      <w:rFonts w:ascii="宋体" w:hAnsi="宋体" w:eastAsia="宋体" w:cstheme="majorBidi"/>
      <w:b/>
      <w:bCs/>
      <w:kern w:val="2"/>
      <w:sz w:val="28"/>
      <w:szCs w:val="24"/>
      <w:lang w:eastAsia="zh-CN"/>
    </w:rPr>
  </w:style>
  <w:style w:type="character" w:customStyle="1" w:styleId="37">
    <w:name w:val="标题 5 字符1"/>
    <w:link w:val="6"/>
    <w:qFormat/>
    <w:uiPriority w:val="99"/>
    <w:rPr>
      <w:rFonts w:hint="eastAsia" w:ascii="Times New Roman" w:hAnsi="Times New Roman" w:eastAsia="宋体" w:cs="Times New Roman"/>
      <w:b/>
      <w:snapToGrid w:val="0"/>
      <w:color w:val="000000"/>
      <w:kern w:val="0"/>
      <w:sz w:val="28"/>
      <w:szCs w:val="24"/>
      <w:lang w:eastAsia="en-US"/>
    </w:rPr>
  </w:style>
  <w:style w:type="paragraph" w:customStyle="1" w:styleId="38">
    <w:name w:val="前言、引言标题"/>
    <w:basedOn w:val="1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9">
    <w:name w:val="实施日期"/>
    <w:basedOn w:val="1"/>
    <w:qFormat/>
    <w:uiPriority w:val="0"/>
    <w:pPr>
      <w:numPr>
        <w:ilvl w:val="4"/>
        <w:numId w:val="3"/>
      </w:numPr>
      <w:ind w:firstLine="0" w:firstLineChars="0"/>
    </w:pPr>
  </w:style>
  <w:style w:type="paragraph" w:customStyle="1" w:styleId="40">
    <w:name w:val="图表脚注"/>
    <w:basedOn w:val="1"/>
    <w:qFormat/>
    <w:uiPriority w:val="0"/>
    <w:pPr>
      <w:numPr>
        <w:ilvl w:val="5"/>
        <w:numId w:val="3"/>
      </w:numPr>
      <w:ind w:firstLine="0" w:firstLineChars="0"/>
    </w:pPr>
  </w:style>
  <w:style w:type="character" w:customStyle="1" w:styleId="41">
    <w:name w:val="TOC 1 字符"/>
    <w:link w:val="21"/>
    <w:qFormat/>
    <w:uiPriority w:val="0"/>
    <w:rPr>
      <w:rFonts w:ascii="汉仪仿宋简" w:hAnsi="汉仪仿宋简" w:cs="Times New Roman" w:eastAsiaTheme="minorEastAsia"/>
      <w:b/>
      <w:bCs/>
      <w:caps/>
      <w:snapToGrid w:val="0"/>
      <w:color w:val="000000"/>
      <w:kern w:val="2"/>
      <w:sz w:val="21"/>
      <w:szCs w:val="24"/>
      <w:lang w:eastAsia="zh-CN"/>
    </w:rPr>
  </w:style>
  <w:style w:type="character" w:customStyle="1" w:styleId="42">
    <w:name w:val="bt21"/>
    <w:qFormat/>
    <w:uiPriority w:val="0"/>
    <w:rPr>
      <w:rFonts w:hint="eastAsia" w:ascii="黑体" w:hAnsi="黑体" w:eastAsia="宋体"/>
      <w:b/>
      <w:sz w:val="28"/>
      <w:szCs w:val="24"/>
    </w:rPr>
  </w:style>
  <w:style w:type="paragraph" w:styleId="43">
    <w:name w:val="List Paragraph"/>
    <w:basedOn w:val="1"/>
    <w:autoRedefine/>
    <w:qFormat/>
    <w:uiPriority w:val="34"/>
    <w:pPr>
      <w:widowControl w:val="0"/>
      <w:numPr>
        <w:ilvl w:val="0"/>
        <w:numId w:val="4"/>
      </w:numPr>
      <w:spacing w:after="0" w:line="360" w:lineRule="auto"/>
      <w:ind w:left="0" w:firstLine="562" w:firstLineChars="200"/>
      <w:jc w:val="left"/>
    </w:pPr>
    <w:rPr>
      <w:rFonts w:ascii="Arial" w:hAnsi="Arial" w:eastAsia="宋体" w:cs="Arial"/>
      <w:bCs/>
      <w:snapToGrid w:val="0"/>
      <w:color w:val="000000"/>
      <w:sz w:val="24"/>
      <w:szCs w:val="21"/>
    </w:rPr>
  </w:style>
  <w:style w:type="paragraph" w:customStyle="1" w:styleId="44">
    <w:name w:val="正文-自动编号"/>
    <w:basedOn w:val="1"/>
    <w:next w:val="1"/>
    <w:qFormat/>
    <w:uiPriority w:val="0"/>
    <w:pPr>
      <w:keepNext/>
      <w:keepLines/>
      <w:numPr>
        <w:ilvl w:val="0"/>
        <w:numId w:val="5"/>
      </w:numPr>
      <w:ind w:firstLine="420"/>
      <w:outlineLvl w:val="5"/>
    </w:pPr>
    <w:rPr>
      <w:rFonts w:hint="eastAsia" w:ascii="宋体" w:hAnsi="宋体" w:eastAsia="宋体" w:cstheme="majorBidi"/>
      <w:bCs/>
      <w:szCs w:val="24"/>
    </w:rPr>
  </w:style>
  <w:style w:type="paragraph" w:customStyle="1" w:styleId="45">
    <w:name w:val="表格17"/>
    <w:qFormat/>
    <w:uiPriority w:val="0"/>
    <w:pPr>
      <w:widowControl w:val="0"/>
      <w:adjustRightInd w:val="0"/>
      <w:snapToGrid w:val="0"/>
      <w:spacing w:line="240" w:lineRule="atLeast"/>
      <w:jc w:val="center"/>
    </w:pPr>
    <w:rPr>
      <w:rFonts w:ascii="Times New Roman" w:hAnsi="Times New Roman" w:eastAsia="宋体" w:cs="Times New Roman"/>
      <w:kern w:val="28"/>
      <w:sz w:val="21"/>
      <w:lang w:val="en-US" w:eastAsia="zh-CN" w:bidi="ar-SA"/>
    </w:rPr>
  </w:style>
  <w:style w:type="character" w:customStyle="1" w:styleId="46">
    <w:name w:val="标题 7 字符"/>
    <w:basedOn w:val="27"/>
    <w:link w:val="8"/>
    <w:qFormat/>
    <w:uiPriority w:val="0"/>
    <w:rPr>
      <w:rFonts w:ascii="宋体" w:hAnsi="宋体" w:eastAsia="宋体" w:cstheme="minorBidi"/>
      <w:b/>
      <w:bCs/>
      <w:kern w:val="2"/>
      <w:sz w:val="28"/>
      <w:szCs w:val="24"/>
      <w:lang w:eastAsia="zh-CN"/>
    </w:rPr>
  </w:style>
  <w:style w:type="character" w:customStyle="1" w:styleId="47">
    <w:name w:val="标题 9 字符"/>
    <w:basedOn w:val="27"/>
    <w:link w:val="10"/>
    <w:qFormat/>
    <w:uiPriority w:val="9"/>
    <w:rPr>
      <w:rFonts w:eastAsia="宋体" w:asciiTheme="majorAscii" w:hAnsiTheme="majorAscii" w:cstheme="majorBidi"/>
      <w:b/>
      <w:szCs w:val="21"/>
    </w:rPr>
  </w:style>
  <w:style w:type="character" w:customStyle="1" w:styleId="48">
    <w:name w:val="TOC 3 字符"/>
    <w:link w:val="18"/>
    <w:autoRedefine/>
    <w:qFormat/>
    <w:uiPriority w:val="0"/>
    <w:rPr>
      <w:rFonts w:ascii="汉仪仿宋简" w:hAnsi="汉仪仿宋简" w:eastAsia="宋体" w:cs="Times New Roman"/>
      <w:sz w:val="21"/>
      <w:szCs w:val="24"/>
    </w:rPr>
  </w:style>
  <w:style w:type="character" w:customStyle="1" w:styleId="49">
    <w:name w:val="正文文本 字符"/>
    <w:link w:val="15"/>
    <w:qFormat/>
    <w:uiPriority w:val="99"/>
    <w:rPr>
      <w:rFonts w:ascii="宋体" w:hAnsi="宋体" w:eastAsia="宋体"/>
      <w:sz w:val="28"/>
      <w:szCs w:val="24"/>
    </w:rPr>
  </w:style>
  <w:style w:type="character" w:customStyle="1" w:styleId="50">
    <w:name w:val="文档结构图 字符"/>
    <w:link w:val="12"/>
    <w:qFormat/>
    <w:uiPriority w:val="0"/>
    <w:rPr>
      <w:rFonts w:ascii="宋体" w:hAnsi="宋体" w:eastAsia="宋体"/>
      <w:b/>
      <w:kern w:val="2"/>
      <w:sz w:val="24"/>
      <w:szCs w:val="18"/>
    </w:rPr>
  </w:style>
  <w:style w:type="paragraph" w:customStyle="1" w:styleId="51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5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">
    <w:name w:val="fn org"/>
    <w:basedOn w:val="27"/>
    <w:qFormat/>
    <w:uiPriority w:val="0"/>
  </w:style>
  <w:style w:type="character" w:customStyle="1" w:styleId="54">
    <w:name w:val="font41"/>
    <w:basedOn w:val="27"/>
    <w:qFormat/>
    <w:uiPriority w:val="0"/>
    <w:rPr>
      <w:rFonts w:ascii="宋体" w:hAnsi="宋体" w:eastAsia="宋体" w:cs="宋体"/>
      <w:color w:val="000000"/>
      <w:sz w:val="8"/>
      <w:szCs w:val="8"/>
      <w:u w:val="none"/>
    </w:rPr>
  </w:style>
  <w:style w:type="character" w:customStyle="1" w:styleId="55">
    <w:name w:val="font51"/>
    <w:basedOn w:val="27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  <w:style w:type="character" w:customStyle="1" w:styleId="56">
    <w:name w:val="font61"/>
    <w:basedOn w:val="27"/>
    <w:qFormat/>
    <w:uiPriority w:val="0"/>
    <w:rPr>
      <w:rFonts w:ascii="宋体" w:hAnsi="宋体" w:eastAsia="宋体" w:cs="宋体"/>
      <w:b/>
      <w:bCs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1372</Words>
  <Characters>1526</Characters>
  <Lines>0</Lines>
  <Paragraphs>0</Paragraphs>
  <TotalTime>0</TotalTime>
  <ScaleCrop>false</ScaleCrop>
  <LinksUpToDate>false</LinksUpToDate>
  <CharactersWithSpaces>1526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2025-02-26T17:37:00Z</dcterms:created>
  <dc:creator>asus</dc:creator>
  <cp:lastModifiedBy>7。</cp:lastModifiedBy>
  <dcterms:modified xsi:type="dcterms:W3CDTF">2026-07-12T08:24:05Z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D34B3F5628CB4C03897A30F1783925A0_13</vt:lpwstr>
  </property>
  <property fmtid="{D5CDD505-2E9C-101B-9397-08002B2CF9AE}" pid="4" name="KSOTemplateDocerSaveRecord">
    <vt:lpwstr>eyJoZGlkIjoiNTBlMzA4NDAxMmQ3NGVlNTlmZmJlYzJiZGYyODY4M2UiLCJ1c2VySWQiOiIzODMxODc0NTYifQ==</vt:lpwstr>
  </property>
</Properties>
</file>