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24198">
      <w:pPr>
        <w:pStyle w:val="4"/>
        <w:tabs>
          <w:tab w:val="left" w:pos="1948"/>
          <w:tab w:val="center" w:pos="4153"/>
        </w:tabs>
        <w:spacing w:afterLines="100" w:line="500" w:lineRule="exact"/>
        <w:jc w:val="center"/>
        <w:rPr>
          <w:rFonts w:ascii="楷体_GB2312" w:hAnsi="宋体" w:eastAsia="楷体_GB2312"/>
          <w:kern w:val="3"/>
        </w:rPr>
      </w:pPr>
      <w:bookmarkStart w:id="0" w:name="_Toc71894852"/>
      <w:bookmarkStart w:id="1" w:name="_Toc172520527"/>
      <w:bookmarkStart w:id="2" w:name="_Toc161817041"/>
      <w:bookmarkStart w:id="3" w:name="_Toc26694167"/>
      <w:bookmarkStart w:id="4" w:name="_Toc26694490"/>
      <w:bookmarkStart w:id="5" w:name="_Toc173038768"/>
      <w:bookmarkStart w:id="6" w:name="_Toc321068191"/>
      <w:r>
        <w:rPr>
          <w:rFonts w:hint="eastAsia" w:ascii="楷体_GB2312" w:hAnsi="宋体" w:eastAsia="楷体_GB2312"/>
          <w:kern w:val="3"/>
        </w:rPr>
        <w:t>前  言</w:t>
      </w:r>
      <w:bookmarkEnd w:id="0"/>
    </w:p>
    <w:p w14:paraId="62F102D0">
      <w:pPr>
        <w:pStyle w:val="32"/>
        <w:adjustRightInd w:val="0"/>
        <w:snapToGrid w:val="0"/>
        <w:spacing w:after="0" w:line="360" w:lineRule="auto"/>
        <w:ind w:firstLine="560" w:firstLineChars="200"/>
        <w:rPr>
          <w:rFonts w:ascii="宋体" w:hAnsi="宋体"/>
          <w:snapToGrid w:val="0"/>
          <w:kern w:val="0"/>
          <w:sz w:val="28"/>
          <w:szCs w:val="28"/>
        </w:rPr>
      </w:pPr>
      <w:r>
        <w:rPr>
          <w:rFonts w:hint="eastAsia" w:ascii="宋体" w:hAnsi="宋体"/>
          <w:snapToGrid w:val="0"/>
          <w:kern w:val="0"/>
          <w:sz w:val="28"/>
          <w:szCs w:val="28"/>
          <w:lang w:eastAsia="zh-CN"/>
        </w:rPr>
        <w:t>盐津县豆沙狮子湾加油站位于盐津县豆沙镇黑喜村狮子湾，</w:t>
      </w:r>
      <w:r>
        <w:rPr>
          <w:rFonts w:hint="eastAsia" w:ascii="宋体" w:hAnsi="宋体"/>
          <w:snapToGrid w:val="0"/>
          <w:color w:val="000000"/>
          <w:kern w:val="0"/>
          <w:sz w:val="28"/>
          <w:szCs w:val="28"/>
        </w:rPr>
        <w:t>为个人独资企业，负责人为</w:t>
      </w:r>
      <w:r>
        <w:rPr>
          <w:rFonts w:hint="eastAsia" w:ascii="宋体" w:hAnsi="宋体"/>
          <w:sz w:val="28"/>
          <w:szCs w:val="28"/>
        </w:rPr>
        <w:t>肖建</w:t>
      </w:r>
      <w:r>
        <w:rPr>
          <w:rFonts w:hint="eastAsia" w:ascii="宋体" w:hAnsi="宋体"/>
          <w:sz w:val="28"/>
          <w:szCs w:val="28"/>
          <w:lang w:val="en-US" w:eastAsia="zh-CN"/>
        </w:rPr>
        <w:t>辉</w:t>
      </w:r>
      <w:r>
        <w:rPr>
          <w:rFonts w:hint="eastAsia" w:ascii="宋体" w:hAnsi="宋体"/>
          <w:snapToGrid w:val="0"/>
          <w:kern w:val="0"/>
          <w:sz w:val="28"/>
          <w:szCs w:val="28"/>
        </w:rPr>
        <w:t>，主要经营汽油（92#）</w:t>
      </w:r>
      <w:r>
        <w:rPr>
          <w:rFonts w:hint="eastAsia" w:ascii="宋体" w:hAnsi="宋体"/>
          <w:snapToGrid w:val="0"/>
          <w:color w:val="000000"/>
          <w:kern w:val="0"/>
          <w:sz w:val="28"/>
          <w:szCs w:val="28"/>
        </w:rPr>
        <w:t>、（95#）</w:t>
      </w:r>
      <w:r>
        <w:rPr>
          <w:rFonts w:hint="eastAsia" w:ascii="宋体" w:hAnsi="宋体"/>
          <w:snapToGrid w:val="0"/>
          <w:kern w:val="0"/>
          <w:sz w:val="28"/>
          <w:szCs w:val="28"/>
        </w:rPr>
        <w:t>和柴油（0#），</w:t>
      </w:r>
      <w:r>
        <w:rPr>
          <w:rFonts w:hint="eastAsia" w:ascii="宋体" w:hAnsi="宋体"/>
          <w:sz w:val="28"/>
          <w:szCs w:val="28"/>
        </w:rPr>
        <w:t>加油站设置</w:t>
      </w:r>
      <w:r>
        <w:rPr>
          <w:rFonts w:hint="eastAsia"/>
          <w:color w:val="000000"/>
          <w:sz w:val="28"/>
          <w:szCs w:val="28"/>
          <w:lang w:val="en-US" w:eastAsia="zh-CN"/>
        </w:rPr>
        <w:t>5</w:t>
      </w:r>
      <w:r>
        <w:rPr>
          <w:rFonts w:hint="eastAsia" w:ascii="宋体" w:hAnsi="宋体"/>
          <w:sz w:val="28"/>
        </w:rPr>
        <w:t>0m</w:t>
      </w:r>
      <w:r>
        <w:rPr>
          <w:rFonts w:hint="eastAsia" w:ascii="宋体" w:hAnsi="宋体"/>
          <w:sz w:val="28"/>
          <w:szCs w:val="28"/>
          <w:vertAlign w:val="superscript"/>
        </w:rPr>
        <w:t>3</w:t>
      </w:r>
      <w:r>
        <w:rPr>
          <w:rFonts w:hint="eastAsia" w:ascii="宋体" w:hAnsi="宋体"/>
          <w:sz w:val="28"/>
        </w:rPr>
        <w:t>柴油罐1座</w:t>
      </w:r>
      <w:r>
        <w:rPr>
          <w:rFonts w:hint="eastAsia" w:ascii="宋体" w:hAnsi="宋体"/>
          <w:sz w:val="28"/>
          <w:lang w:eastAsia="zh-CN"/>
        </w:rPr>
        <w:t>、</w:t>
      </w:r>
      <w:r>
        <w:rPr>
          <w:rFonts w:hint="eastAsia" w:ascii="宋体" w:hAnsi="宋体"/>
          <w:sz w:val="28"/>
          <w:lang w:val="en-US" w:eastAsia="zh-CN"/>
        </w:rPr>
        <w:t>3</w:t>
      </w:r>
      <w:r>
        <w:rPr>
          <w:rFonts w:hint="eastAsia" w:ascii="宋体" w:hAnsi="宋体"/>
          <w:sz w:val="28"/>
        </w:rPr>
        <w:t>0m</w:t>
      </w:r>
      <w:r>
        <w:rPr>
          <w:rFonts w:hint="eastAsia" w:ascii="宋体" w:hAnsi="宋体"/>
          <w:sz w:val="28"/>
          <w:szCs w:val="28"/>
          <w:vertAlign w:val="superscript"/>
        </w:rPr>
        <w:t>3</w:t>
      </w:r>
      <w:r>
        <w:rPr>
          <w:rFonts w:hint="eastAsia" w:ascii="宋体" w:hAnsi="宋体"/>
          <w:snapToGrid w:val="0"/>
          <w:kern w:val="0"/>
          <w:sz w:val="28"/>
          <w:szCs w:val="28"/>
        </w:rPr>
        <w:t>92</w:t>
      </w:r>
      <w:r>
        <w:rPr>
          <w:rFonts w:hint="eastAsia" w:ascii="宋体" w:hAnsi="宋体"/>
          <w:snapToGrid w:val="0"/>
          <w:kern w:val="0"/>
          <w:sz w:val="28"/>
          <w:szCs w:val="28"/>
          <w:vertAlign w:val="superscript"/>
        </w:rPr>
        <w:t>#</w:t>
      </w:r>
      <w:r>
        <w:rPr>
          <w:rFonts w:hint="eastAsia" w:ascii="宋体" w:hAnsi="宋体"/>
          <w:sz w:val="28"/>
        </w:rPr>
        <w:t>汽油罐1座、</w:t>
      </w:r>
      <w:r>
        <w:rPr>
          <w:rFonts w:hint="eastAsia" w:ascii="宋体" w:hAnsi="宋体"/>
          <w:sz w:val="28"/>
          <w:lang w:val="en-US" w:eastAsia="zh-CN"/>
        </w:rPr>
        <w:t>3</w:t>
      </w:r>
      <w:r>
        <w:rPr>
          <w:rFonts w:hint="eastAsia" w:ascii="宋体" w:hAnsi="宋体"/>
          <w:sz w:val="28"/>
        </w:rPr>
        <w:t>0m</w:t>
      </w:r>
      <w:r>
        <w:rPr>
          <w:rFonts w:hint="eastAsia" w:ascii="宋体" w:hAnsi="宋体"/>
          <w:sz w:val="28"/>
          <w:szCs w:val="28"/>
          <w:vertAlign w:val="superscript"/>
        </w:rPr>
        <w:t>3</w:t>
      </w:r>
      <w:r>
        <w:rPr>
          <w:rFonts w:hint="eastAsia" w:ascii="宋体" w:hAnsi="宋体"/>
          <w:sz w:val="28"/>
        </w:rPr>
        <w:t>9</w:t>
      </w:r>
      <w:r>
        <w:rPr>
          <w:rFonts w:hint="eastAsia" w:ascii="宋体" w:hAnsi="宋体"/>
          <w:sz w:val="28"/>
          <w:lang w:val="en-US" w:eastAsia="zh-CN"/>
        </w:rPr>
        <w:t>5</w:t>
      </w:r>
      <w:r>
        <w:rPr>
          <w:rFonts w:hint="eastAsia" w:ascii="宋体" w:hAnsi="宋体"/>
          <w:sz w:val="28"/>
          <w:szCs w:val="28"/>
          <w:vertAlign w:val="superscript"/>
        </w:rPr>
        <w:t>#</w:t>
      </w:r>
      <w:r>
        <w:rPr>
          <w:rFonts w:hint="eastAsia" w:ascii="宋体" w:hAnsi="宋体"/>
          <w:sz w:val="28"/>
        </w:rPr>
        <w:t>汽油罐</w:t>
      </w:r>
      <w:r>
        <w:rPr>
          <w:rFonts w:hint="eastAsia" w:ascii="宋体" w:hAnsi="宋体"/>
          <w:sz w:val="28"/>
          <w:lang w:val="en-US" w:eastAsia="zh-CN"/>
        </w:rPr>
        <w:t>1</w:t>
      </w:r>
      <w:r>
        <w:rPr>
          <w:rFonts w:hint="eastAsia" w:ascii="宋体" w:hAnsi="宋体"/>
          <w:sz w:val="28"/>
        </w:rPr>
        <w:t>座</w:t>
      </w:r>
      <w:r>
        <w:rPr>
          <w:rFonts w:hint="eastAsia"/>
          <w:color w:val="000000"/>
          <w:sz w:val="28"/>
          <w:szCs w:val="28"/>
        </w:rPr>
        <w:t>，</w:t>
      </w:r>
      <w:r>
        <w:rPr>
          <w:rFonts w:hint="eastAsia" w:ascii="宋体" w:hAnsi="宋体"/>
          <w:sz w:val="28"/>
          <w:szCs w:val="28"/>
        </w:rPr>
        <w:t>总容积为</w:t>
      </w:r>
      <w:r>
        <w:rPr>
          <w:rFonts w:hint="eastAsia" w:ascii="宋体" w:hAnsi="宋体"/>
          <w:sz w:val="28"/>
          <w:szCs w:val="28"/>
          <w:lang w:val="en-US" w:eastAsia="zh-CN"/>
        </w:rPr>
        <w:t>11</w:t>
      </w:r>
      <w:r>
        <w:rPr>
          <w:rFonts w:hint="eastAsia" w:ascii="宋体" w:hAnsi="宋体"/>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sz w:val="28"/>
          <w:szCs w:val="28"/>
        </w:rPr>
        <w:t>分级标准，</w:t>
      </w:r>
      <w:r>
        <w:rPr>
          <w:rFonts w:hint="eastAsia" w:ascii="宋体" w:hAnsi="宋体"/>
          <w:sz w:val="28"/>
          <w:szCs w:val="28"/>
          <w:lang w:eastAsia="zh-CN"/>
        </w:rPr>
        <w:t>加油站</w:t>
      </w:r>
      <w:r>
        <w:rPr>
          <w:rFonts w:hint="eastAsia" w:ascii="宋体" w:hAnsi="宋体"/>
          <w:sz w:val="28"/>
          <w:szCs w:val="28"/>
        </w:rPr>
        <w:t>存储能力为</w:t>
      </w:r>
      <w:r>
        <w:rPr>
          <w:rFonts w:hint="eastAsia" w:ascii="宋体" w:hAnsi="宋体"/>
          <w:sz w:val="28"/>
          <w:szCs w:val="28"/>
          <w:lang w:val="en-US" w:eastAsia="zh-CN"/>
        </w:rPr>
        <w:t>85</w:t>
      </w:r>
      <w:r>
        <w:rPr>
          <w:rFonts w:hint="eastAsia" w:ascii="宋体" w:hAnsi="宋体"/>
          <w:sz w:val="28"/>
          <w:szCs w:val="28"/>
        </w:rPr>
        <w:t>m³（柴油折半计算），该加油站为</w:t>
      </w:r>
      <w:r>
        <w:rPr>
          <w:rFonts w:hint="eastAsia" w:ascii="宋体" w:hAnsi="宋体"/>
          <w:sz w:val="28"/>
          <w:szCs w:val="28"/>
          <w:lang w:val="en-US" w:eastAsia="zh-CN"/>
        </w:rPr>
        <w:t>三</w:t>
      </w:r>
      <w:r>
        <w:rPr>
          <w:rFonts w:hint="eastAsia" w:ascii="宋体" w:hAnsi="宋体"/>
          <w:sz w:val="28"/>
          <w:szCs w:val="28"/>
        </w:rPr>
        <w:t>级加油站</w:t>
      </w:r>
      <w:r>
        <w:rPr>
          <w:rFonts w:hint="eastAsia" w:ascii="宋体" w:hAnsi="宋体"/>
          <w:snapToGrid w:val="0"/>
          <w:kern w:val="0"/>
          <w:sz w:val="28"/>
          <w:szCs w:val="28"/>
        </w:rPr>
        <w:t>。加油站于202</w:t>
      </w:r>
      <w:r>
        <w:rPr>
          <w:rFonts w:hint="eastAsia" w:ascii="宋体" w:hAnsi="宋体"/>
          <w:snapToGrid w:val="0"/>
          <w:kern w:val="0"/>
          <w:sz w:val="28"/>
          <w:szCs w:val="28"/>
          <w:lang w:val="en-US" w:eastAsia="zh-CN"/>
        </w:rPr>
        <w:t>2</w:t>
      </w:r>
      <w:r>
        <w:rPr>
          <w:rFonts w:hint="eastAsia" w:ascii="宋体" w:hAnsi="宋体"/>
          <w:snapToGrid w:val="0"/>
          <w:kern w:val="0"/>
          <w:sz w:val="28"/>
          <w:szCs w:val="28"/>
        </w:rPr>
        <w:t>年</w:t>
      </w:r>
      <w:r>
        <w:rPr>
          <w:rFonts w:hint="eastAsia" w:ascii="宋体" w:hAnsi="宋体"/>
          <w:snapToGrid w:val="0"/>
          <w:kern w:val="0"/>
          <w:sz w:val="28"/>
          <w:szCs w:val="28"/>
          <w:lang w:val="en-US" w:eastAsia="zh-CN"/>
        </w:rPr>
        <w:t>8</w:t>
      </w:r>
      <w:r>
        <w:rPr>
          <w:rFonts w:hint="eastAsia" w:ascii="宋体" w:hAnsi="宋体"/>
          <w:snapToGrid w:val="0"/>
          <w:kern w:val="0"/>
          <w:sz w:val="28"/>
          <w:szCs w:val="28"/>
        </w:rPr>
        <w:t>月</w:t>
      </w:r>
      <w:r>
        <w:rPr>
          <w:rFonts w:hint="eastAsia" w:ascii="宋体" w:hAnsi="宋体"/>
          <w:snapToGrid w:val="0"/>
          <w:kern w:val="0"/>
          <w:sz w:val="28"/>
          <w:szCs w:val="28"/>
          <w:lang w:val="en-US" w:eastAsia="zh-CN"/>
        </w:rPr>
        <w:t>10</w:t>
      </w:r>
      <w:r>
        <w:rPr>
          <w:rFonts w:hint="eastAsia" w:ascii="宋体" w:hAnsi="宋体"/>
          <w:snapToGrid w:val="0"/>
          <w:kern w:val="0"/>
          <w:sz w:val="28"/>
          <w:szCs w:val="28"/>
        </w:rPr>
        <w:t>日换取了</w:t>
      </w:r>
      <w:r>
        <w:rPr>
          <w:rFonts w:ascii="宋体" w:hAnsi="宋体"/>
          <w:snapToGrid w:val="0"/>
          <w:kern w:val="0"/>
          <w:sz w:val="28"/>
          <w:szCs w:val="28"/>
        </w:rPr>
        <w:t>《危险化学品经营许可证》</w:t>
      </w:r>
      <w:r>
        <w:rPr>
          <w:rFonts w:hint="eastAsia" w:ascii="宋体" w:hAnsi="宋体"/>
          <w:snapToGrid w:val="0"/>
          <w:kern w:val="0"/>
          <w:sz w:val="28"/>
          <w:szCs w:val="28"/>
        </w:rPr>
        <w:t>（</w:t>
      </w:r>
      <w:r>
        <w:rPr>
          <w:rFonts w:ascii="宋体" w:hAnsi="宋体"/>
          <w:snapToGrid w:val="0"/>
          <w:kern w:val="0"/>
          <w:sz w:val="28"/>
          <w:szCs w:val="28"/>
        </w:rPr>
        <w:t>有效期为</w:t>
      </w:r>
      <w:r>
        <w:rPr>
          <w:rFonts w:hint="eastAsia" w:ascii="宋体" w:hAnsi="宋体"/>
          <w:snapToGrid w:val="0"/>
          <w:kern w:val="0"/>
          <w:sz w:val="28"/>
          <w:szCs w:val="28"/>
        </w:rPr>
        <w:t>202</w:t>
      </w:r>
      <w:r>
        <w:rPr>
          <w:rFonts w:hint="eastAsia" w:ascii="宋体" w:hAnsi="宋体"/>
          <w:snapToGrid w:val="0"/>
          <w:kern w:val="0"/>
          <w:sz w:val="28"/>
          <w:szCs w:val="28"/>
          <w:lang w:val="en-US" w:eastAsia="zh-CN"/>
        </w:rPr>
        <w:t>2</w:t>
      </w:r>
      <w:r>
        <w:rPr>
          <w:rFonts w:hint="eastAsia" w:ascii="宋体" w:hAnsi="宋体"/>
          <w:snapToGrid w:val="0"/>
          <w:kern w:val="0"/>
          <w:sz w:val="28"/>
          <w:szCs w:val="28"/>
        </w:rPr>
        <w:t>年</w:t>
      </w:r>
      <w:r>
        <w:rPr>
          <w:rFonts w:hint="eastAsia" w:ascii="宋体" w:hAnsi="宋体"/>
          <w:snapToGrid w:val="0"/>
          <w:kern w:val="0"/>
          <w:sz w:val="28"/>
          <w:szCs w:val="28"/>
          <w:lang w:val="en-US" w:eastAsia="zh-CN"/>
        </w:rPr>
        <w:t>8</w:t>
      </w:r>
      <w:r>
        <w:rPr>
          <w:rFonts w:hint="eastAsia" w:ascii="宋体" w:hAnsi="宋体"/>
          <w:snapToGrid w:val="0"/>
          <w:kern w:val="0"/>
          <w:sz w:val="28"/>
          <w:szCs w:val="28"/>
        </w:rPr>
        <w:t>月</w:t>
      </w:r>
      <w:r>
        <w:rPr>
          <w:rFonts w:hint="eastAsia" w:ascii="宋体" w:hAnsi="宋体"/>
          <w:snapToGrid w:val="0"/>
          <w:kern w:val="0"/>
          <w:sz w:val="28"/>
          <w:szCs w:val="28"/>
          <w:lang w:val="en-US" w:eastAsia="zh-CN"/>
        </w:rPr>
        <w:t>10</w:t>
      </w:r>
      <w:r>
        <w:rPr>
          <w:rFonts w:hint="eastAsia" w:ascii="宋体" w:hAnsi="宋体"/>
          <w:snapToGrid w:val="0"/>
          <w:kern w:val="0"/>
          <w:sz w:val="28"/>
          <w:szCs w:val="28"/>
        </w:rPr>
        <w:t>日至202</w:t>
      </w:r>
      <w:r>
        <w:rPr>
          <w:rFonts w:hint="eastAsia" w:ascii="宋体" w:hAnsi="宋体"/>
          <w:snapToGrid w:val="0"/>
          <w:kern w:val="0"/>
          <w:sz w:val="28"/>
          <w:szCs w:val="28"/>
          <w:lang w:val="en-US" w:eastAsia="zh-CN"/>
        </w:rPr>
        <w:t>5</w:t>
      </w:r>
      <w:r>
        <w:rPr>
          <w:rFonts w:hint="eastAsia" w:ascii="宋体" w:hAnsi="宋体"/>
          <w:snapToGrid w:val="0"/>
          <w:kern w:val="0"/>
          <w:sz w:val="28"/>
          <w:szCs w:val="28"/>
        </w:rPr>
        <w:t>年</w:t>
      </w:r>
      <w:r>
        <w:rPr>
          <w:rFonts w:hint="eastAsia" w:ascii="宋体" w:hAnsi="宋体"/>
          <w:snapToGrid w:val="0"/>
          <w:kern w:val="0"/>
          <w:sz w:val="28"/>
          <w:szCs w:val="28"/>
          <w:lang w:val="en-US" w:eastAsia="zh-CN"/>
        </w:rPr>
        <w:t>8</w:t>
      </w:r>
      <w:r>
        <w:rPr>
          <w:rFonts w:hint="eastAsia" w:ascii="宋体" w:hAnsi="宋体"/>
          <w:snapToGrid w:val="0"/>
          <w:kern w:val="0"/>
          <w:sz w:val="28"/>
          <w:szCs w:val="28"/>
        </w:rPr>
        <w:t>月</w:t>
      </w:r>
      <w:r>
        <w:rPr>
          <w:rFonts w:hint="eastAsia" w:ascii="宋体" w:hAnsi="宋体"/>
          <w:snapToGrid w:val="0"/>
          <w:kern w:val="0"/>
          <w:sz w:val="28"/>
          <w:szCs w:val="28"/>
          <w:lang w:val="en-US" w:eastAsia="zh-CN"/>
        </w:rPr>
        <w:t>9</w:t>
      </w:r>
      <w:r>
        <w:rPr>
          <w:rFonts w:hint="eastAsia" w:ascii="宋体" w:hAnsi="宋体"/>
          <w:snapToGrid w:val="0"/>
          <w:kern w:val="0"/>
          <w:sz w:val="28"/>
          <w:szCs w:val="28"/>
        </w:rPr>
        <w:t>日），需办理延期换证手续。为确定该加油站是否具备安全经营条件，根据《中华人民共和国安全生产法》《危险化学品安全管理条例》《危险化学品经营许可证管理办法》及《云南省安全生产监督管理局关于危险化学品经营行政许可有关事项的通知》等法规文件的要求，</w:t>
      </w:r>
      <w:r>
        <w:rPr>
          <w:rFonts w:hint="eastAsia" w:ascii="宋体" w:hAnsi="宋体"/>
          <w:snapToGrid w:val="0"/>
          <w:kern w:val="0"/>
          <w:sz w:val="28"/>
          <w:szCs w:val="28"/>
          <w:lang w:eastAsia="zh-CN"/>
        </w:rPr>
        <w:t>盐津县豆沙狮子湾加油站</w:t>
      </w:r>
      <w:r>
        <w:rPr>
          <w:rFonts w:hint="eastAsia" w:ascii="宋体" w:hAnsi="宋体"/>
          <w:snapToGrid w:val="0"/>
          <w:kern w:val="0"/>
          <w:sz w:val="28"/>
          <w:szCs w:val="28"/>
        </w:rPr>
        <w:t>委托昭通市鼎安科技有限公司对</w:t>
      </w:r>
      <w:r>
        <w:rPr>
          <w:rFonts w:hint="eastAsia" w:ascii="宋体" w:hAnsi="宋体"/>
          <w:snapToGrid w:val="0"/>
          <w:kern w:val="0"/>
          <w:sz w:val="28"/>
          <w:szCs w:val="28"/>
          <w:lang w:eastAsia="zh-CN"/>
        </w:rPr>
        <w:t>盐津县豆沙狮子湾加油站</w:t>
      </w:r>
      <w:r>
        <w:rPr>
          <w:rFonts w:hint="eastAsia" w:ascii="宋体" w:hAnsi="宋体"/>
          <w:snapToGrid w:val="0"/>
          <w:kern w:val="0"/>
          <w:sz w:val="28"/>
          <w:szCs w:val="28"/>
        </w:rPr>
        <w:t>进行安全现状评价工作。</w:t>
      </w:r>
    </w:p>
    <w:p w14:paraId="03CCF3EC">
      <w:pPr>
        <w:pStyle w:val="32"/>
        <w:adjustRightInd w:val="0"/>
        <w:snapToGrid w:val="0"/>
        <w:spacing w:after="0" w:line="360" w:lineRule="auto"/>
        <w:ind w:firstLine="560" w:firstLineChars="200"/>
        <w:rPr>
          <w:rFonts w:ascii="宋体" w:hAnsi="宋体"/>
          <w:snapToGrid w:val="0"/>
          <w:kern w:val="0"/>
          <w:sz w:val="28"/>
          <w:szCs w:val="28"/>
        </w:rPr>
      </w:pPr>
      <w:r>
        <w:rPr>
          <w:rFonts w:ascii="宋体" w:hAnsi="宋体"/>
          <w:snapToGrid w:val="0"/>
          <w:kern w:val="0"/>
          <w:sz w:val="28"/>
          <w:szCs w:val="28"/>
        </w:rPr>
        <w:t>昭通市鼎安科技有限公司接受企业委托后，成立了项目评价组，评价组依据《安全评价通则》</w:t>
      </w:r>
      <w:r>
        <w:rPr>
          <w:rFonts w:hint="eastAsia" w:ascii="宋体" w:hAnsi="宋体"/>
          <w:snapToGrid w:val="0"/>
          <w:kern w:val="0"/>
          <w:sz w:val="28"/>
          <w:szCs w:val="28"/>
        </w:rPr>
        <w:t>（AQ8001-2007）</w:t>
      </w:r>
      <w:r>
        <w:rPr>
          <w:rFonts w:ascii="宋体" w:hAnsi="宋体"/>
          <w:snapToGrid w:val="0"/>
          <w:kern w:val="0"/>
          <w:sz w:val="28"/>
          <w:szCs w:val="28"/>
        </w:rPr>
        <w:t>的要求，参照《危险化学品经营单位安全评价导则(试行)》（安监管管二字〔2003〕38号）规定的评价程序，依照法律、法规、规章、标准，遵循科学公正、独立客观、安全准确、诚实守信的原则和执业准则</w:t>
      </w:r>
      <w:r>
        <w:rPr>
          <w:rFonts w:hint="eastAsia" w:ascii="宋体" w:hAnsi="宋体"/>
          <w:snapToGrid w:val="0"/>
          <w:kern w:val="0"/>
          <w:sz w:val="28"/>
          <w:szCs w:val="28"/>
        </w:rPr>
        <w:t>，</w:t>
      </w:r>
      <w:r>
        <w:rPr>
          <w:rFonts w:ascii="宋体" w:hAnsi="宋体"/>
          <w:snapToGrid w:val="0"/>
          <w:kern w:val="0"/>
          <w:sz w:val="28"/>
          <w:szCs w:val="28"/>
        </w:rPr>
        <w:t>经现场调研和查勘，以收集到的相关资料</w:t>
      </w:r>
      <w:r>
        <w:rPr>
          <w:rFonts w:hint="eastAsia" w:ascii="宋体" w:hAnsi="宋体"/>
          <w:snapToGrid w:val="0"/>
          <w:kern w:val="0"/>
          <w:sz w:val="28"/>
          <w:szCs w:val="28"/>
        </w:rPr>
        <w:t>为依据，</w:t>
      </w:r>
      <w:r>
        <w:rPr>
          <w:rFonts w:ascii="宋体" w:hAnsi="宋体"/>
          <w:snapToGrid w:val="0"/>
          <w:kern w:val="0"/>
          <w:sz w:val="28"/>
          <w:szCs w:val="28"/>
        </w:rPr>
        <w:t>对该加油站存在的主要危险、有害因素及其危险危害程度进行辨识与分析，对系统配备的安全设施进行有效性、可靠性评价，对加油站的</w:t>
      </w:r>
      <w:r>
        <w:rPr>
          <w:rFonts w:hint="eastAsia" w:ascii="宋体" w:hAnsi="宋体"/>
          <w:snapToGrid w:val="0"/>
          <w:kern w:val="0"/>
          <w:sz w:val="28"/>
          <w:szCs w:val="28"/>
        </w:rPr>
        <w:t>安全</w:t>
      </w:r>
      <w:r>
        <w:rPr>
          <w:rFonts w:ascii="宋体" w:hAnsi="宋体"/>
          <w:snapToGrid w:val="0"/>
          <w:kern w:val="0"/>
          <w:sz w:val="28"/>
          <w:szCs w:val="28"/>
        </w:rPr>
        <w:t>经营</w:t>
      </w:r>
      <w:r>
        <w:rPr>
          <w:rFonts w:hint="eastAsia" w:ascii="宋体" w:hAnsi="宋体"/>
          <w:snapToGrid w:val="0"/>
          <w:kern w:val="0"/>
          <w:sz w:val="28"/>
          <w:szCs w:val="28"/>
        </w:rPr>
        <w:t>管理</w:t>
      </w:r>
      <w:r>
        <w:rPr>
          <w:rFonts w:ascii="宋体" w:hAnsi="宋体"/>
          <w:snapToGrid w:val="0"/>
          <w:kern w:val="0"/>
          <w:sz w:val="28"/>
          <w:szCs w:val="28"/>
        </w:rPr>
        <w:t>条件进行分析评价</w:t>
      </w:r>
      <w:r>
        <w:rPr>
          <w:rFonts w:hint="eastAsia" w:ascii="宋体" w:hAnsi="宋体"/>
          <w:snapToGrid w:val="0"/>
          <w:kern w:val="0"/>
          <w:sz w:val="28"/>
          <w:szCs w:val="28"/>
        </w:rPr>
        <w:t>；并针对加油站的安全现状条件，</w:t>
      </w:r>
      <w:r>
        <w:rPr>
          <w:rFonts w:ascii="宋体" w:hAnsi="宋体"/>
          <w:snapToGrid w:val="0"/>
          <w:kern w:val="0"/>
          <w:sz w:val="28"/>
          <w:szCs w:val="28"/>
        </w:rPr>
        <w:t>有针对性的提出了消除、减弱和预防该加油站</w:t>
      </w:r>
      <w:r>
        <w:rPr>
          <w:rFonts w:hint="eastAsia" w:ascii="宋体" w:hAnsi="宋体"/>
          <w:snapToGrid w:val="0"/>
          <w:kern w:val="0"/>
          <w:sz w:val="28"/>
          <w:szCs w:val="28"/>
        </w:rPr>
        <w:t>的风险的对策措施</w:t>
      </w:r>
      <w:r>
        <w:rPr>
          <w:rFonts w:ascii="宋体" w:hAnsi="宋体"/>
          <w:snapToGrid w:val="0"/>
          <w:kern w:val="0"/>
          <w:sz w:val="28"/>
          <w:szCs w:val="28"/>
        </w:rPr>
        <w:t>，提高其安全程度</w:t>
      </w:r>
      <w:r>
        <w:rPr>
          <w:rFonts w:hint="eastAsia" w:ascii="宋体" w:hAnsi="宋体"/>
          <w:snapToGrid w:val="0"/>
          <w:kern w:val="0"/>
          <w:sz w:val="28"/>
          <w:szCs w:val="28"/>
        </w:rPr>
        <w:t>；</w:t>
      </w:r>
      <w:r>
        <w:rPr>
          <w:rFonts w:ascii="宋体" w:hAnsi="宋体"/>
          <w:snapToGrid w:val="0"/>
          <w:kern w:val="0"/>
          <w:sz w:val="28"/>
          <w:szCs w:val="28"/>
        </w:rPr>
        <w:t>最后得出评价结论，</w:t>
      </w:r>
      <w:r>
        <w:rPr>
          <w:rFonts w:hint="eastAsia" w:ascii="宋体" w:hAnsi="宋体"/>
          <w:snapToGrid w:val="0"/>
          <w:kern w:val="0"/>
          <w:sz w:val="28"/>
          <w:szCs w:val="28"/>
          <w:lang w:val="en-US" w:eastAsia="zh-CN"/>
        </w:rPr>
        <w:t>最终形成本</w:t>
      </w:r>
      <w:r>
        <w:rPr>
          <w:rFonts w:ascii="宋体" w:hAnsi="宋体"/>
          <w:snapToGrid w:val="0"/>
          <w:kern w:val="0"/>
          <w:sz w:val="28"/>
          <w:szCs w:val="28"/>
        </w:rPr>
        <w:t>安全现状评价报告。</w:t>
      </w:r>
    </w:p>
    <w:p w14:paraId="6114E95E">
      <w:pPr>
        <w:pStyle w:val="32"/>
        <w:adjustRightInd w:val="0"/>
        <w:snapToGrid w:val="0"/>
        <w:spacing w:after="0" w:line="360" w:lineRule="auto"/>
        <w:ind w:firstLine="560" w:firstLineChars="200"/>
        <w:rPr>
          <w:rFonts w:hint="eastAsia" w:ascii="宋体" w:hAnsi="宋体"/>
          <w:snapToGrid w:val="0"/>
          <w:kern w:val="0"/>
          <w:sz w:val="28"/>
          <w:szCs w:val="28"/>
        </w:rPr>
      </w:pPr>
    </w:p>
    <w:p w14:paraId="60117A0C">
      <w:pPr>
        <w:pStyle w:val="32"/>
        <w:adjustRightInd w:val="0"/>
        <w:snapToGrid w:val="0"/>
        <w:spacing w:after="0" w:line="360" w:lineRule="auto"/>
        <w:ind w:firstLine="560" w:firstLineChars="200"/>
        <w:rPr>
          <w:rFonts w:hint="eastAsia" w:ascii="宋体" w:hAnsi="宋体"/>
          <w:snapToGrid w:val="0"/>
          <w:kern w:val="0"/>
          <w:sz w:val="28"/>
          <w:szCs w:val="28"/>
        </w:rPr>
      </w:pPr>
    </w:p>
    <w:p w14:paraId="65F1D5D6">
      <w:pPr>
        <w:pStyle w:val="32"/>
        <w:adjustRightInd w:val="0"/>
        <w:snapToGrid w:val="0"/>
        <w:spacing w:after="0" w:line="360" w:lineRule="auto"/>
        <w:ind w:firstLine="560" w:firstLineChars="200"/>
        <w:rPr>
          <w:rFonts w:hint="eastAsia" w:ascii="宋体" w:hAnsi="宋体"/>
          <w:snapToGrid w:val="0"/>
          <w:kern w:val="0"/>
          <w:sz w:val="28"/>
          <w:szCs w:val="28"/>
        </w:rPr>
      </w:pPr>
    </w:p>
    <w:p w14:paraId="131C2783">
      <w:pPr>
        <w:pStyle w:val="32"/>
        <w:adjustRightInd w:val="0"/>
        <w:snapToGrid w:val="0"/>
        <w:spacing w:after="0" w:line="360" w:lineRule="auto"/>
        <w:ind w:firstLine="560" w:firstLineChars="200"/>
        <w:rPr>
          <w:rFonts w:hint="eastAsia" w:ascii="宋体" w:hAnsi="宋体"/>
          <w:snapToGrid w:val="0"/>
          <w:kern w:val="0"/>
          <w:sz w:val="28"/>
          <w:szCs w:val="28"/>
        </w:rPr>
      </w:pPr>
    </w:p>
    <w:p w14:paraId="69484B7B">
      <w:pPr>
        <w:pStyle w:val="32"/>
        <w:adjustRightInd w:val="0"/>
        <w:snapToGrid w:val="0"/>
        <w:spacing w:after="0" w:line="360" w:lineRule="auto"/>
        <w:ind w:firstLine="560" w:firstLineChars="200"/>
        <w:rPr>
          <w:rFonts w:hint="eastAsia" w:ascii="宋体" w:hAnsi="宋体"/>
          <w:snapToGrid w:val="0"/>
          <w:kern w:val="0"/>
          <w:sz w:val="28"/>
          <w:szCs w:val="28"/>
        </w:rPr>
      </w:pPr>
    </w:p>
    <w:p w14:paraId="64BBBF5D">
      <w:pPr>
        <w:pStyle w:val="32"/>
        <w:adjustRightInd w:val="0"/>
        <w:snapToGrid w:val="0"/>
        <w:spacing w:after="0" w:line="360" w:lineRule="auto"/>
        <w:ind w:firstLine="560" w:firstLineChars="200"/>
        <w:rPr>
          <w:rFonts w:hint="eastAsia" w:ascii="宋体" w:hAnsi="宋体"/>
          <w:snapToGrid w:val="0"/>
          <w:kern w:val="0"/>
          <w:sz w:val="28"/>
          <w:szCs w:val="28"/>
        </w:rPr>
      </w:pPr>
    </w:p>
    <w:p w14:paraId="4B896089">
      <w:pPr>
        <w:pStyle w:val="32"/>
        <w:adjustRightInd w:val="0"/>
        <w:snapToGrid w:val="0"/>
        <w:spacing w:after="0" w:line="360" w:lineRule="auto"/>
        <w:ind w:firstLine="560" w:firstLineChars="200"/>
        <w:rPr>
          <w:rFonts w:hint="eastAsia" w:ascii="宋体" w:hAnsi="宋体"/>
          <w:snapToGrid w:val="0"/>
          <w:kern w:val="0"/>
          <w:sz w:val="28"/>
          <w:szCs w:val="28"/>
        </w:rPr>
      </w:pPr>
    </w:p>
    <w:p w14:paraId="3D89927C">
      <w:pPr>
        <w:pStyle w:val="32"/>
        <w:adjustRightInd w:val="0"/>
        <w:snapToGrid w:val="0"/>
        <w:spacing w:after="0" w:line="360" w:lineRule="auto"/>
        <w:ind w:firstLine="560" w:firstLineChars="200"/>
        <w:rPr>
          <w:rFonts w:hint="eastAsia" w:ascii="宋体" w:hAnsi="宋体"/>
          <w:snapToGrid w:val="0"/>
          <w:kern w:val="0"/>
          <w:sz w:val="28"/>
          <w:szCs w:val="28"/>
        </w:rPr>
      </w:pPr>
    </w:p>
    <w:p w14:paraId="29890573">
      <w:pPr>
        <w:pStyle w:val="32"/>
        <w:adjustRightInd w:val="0"/>
        <w:snapToGrid w:val="0"/>
        <w:spacing w:after="0" w:line="360" w:lineRule="auto"/>
        <w:ind w:firstLine="560" w:firstLineChars="200"/>
        <w:rPr>
          <w:rFonts w:hint="eastAsia" w:ascii="宋体" w:hAnsi="宋体"/>
          <w:snapToGrid w:val="0"/>
          <w:kern w:val="0"/>
          <w:sz w:val="28"/>
          <w:szCs w:val="28"/>
        </w:rPr>
      </w:pPr>
    </w:p>
    <w:p w14:paraId="0D89BD17">
      <w:pPr>
        <w:pStyle w:val="32"/>
        <w:adjustRightInd w:val="0"/>
        <w:snapToGrid w:val="0"/>
        <w:spacing w:after="0" w:line="360" w:lineRule="auto"/>
        <w:ind w:firstLine="560" w:firstLineChars="200"/>
        <w:rPr>
          <w:rFonts w:hint="eastAsia" w:ascii="宋体" w:hAnsi="宋体"/>
          <w:snapToGrid w:val="0"/>
          <w:kern w:val="0"/>
          <w:sz w:val="28"/>
          <w:szCs w:val="28"/>
        </w:rPr>
      </w:pPr>
    </w:p>
    <w:p w14:paraId="350DDA4B">
      <w:pPr>
        <w:pStyle w:val="32"/>
        <w:adjustRightInd w:val="0"/>
        <w:snapToGrid w:val="0"/>
        <w:spacing w:after="0" w:line="360" w:lineRule="auto"/>
        <w:ind w:firstLine="560" w:firstLineChars="200"/>
        <w:rPr>
          <w:rFonts w:hint="eastAsia" w:ascii="宋体" w:hAnsi="宋体"/>
          <w:snapToGrid w:val="0"/>
          <w:kern w:val="0"/>
          <w:sz w:val="28"/>
          <w:szCs w:val="28"/>
        </w:rPr>
      </w:pPr>
    </w:p>
    <w:p w14:paraId="370CF8C8">
      <w:pPr>
        <w:pStyle w:val="32"/>
        <w:adjustRightInd w:val="0"/>
        <w:snapToGrid w:val="0"/>
        <w:spacing w:after="0" w:line="360" w:lineRule="auto"/>
        <w:ind w:firstLine="560" w:firstLineChars="200"/>
        <w:rPr>
          <w:rFonts w:hint="eastAsia" w:ascii="宋体" w:hAnsi="宋体"/>
          <w:snapToGrid w:val="0"/>
          <w:kern w:val="0"/>
          <w:sz w:val="28"/>
          <w:szCs w:val="28"/>
        </w:rPr>
      </w:pPr>
    </w:p>
    <w:p w14:paraId="63059177">
      <w:pPr>
        <w:pStyle w:val="4"/>
        <w:spacing w:afterLines="100" w:line="500" w:lineRule="exact"/>
        <w:jc w:val="center"/>
        <w:rPr>
          <w:rFonts w:ascii="楷体_GB2312" w:hAnsi="宋体" w:eastAsia="楷体_GB2312"/>
          <w:kern w:val="3"/>
        </w:rPr>
      </w:pPr>
      <w:bookmarkStart w:id="7" w:name="_Toc71894853"/>
      <w:r>
        <w:rPr>
          <w:rFonts w:hint="eastAsia" w:ascii="楷体_GB2312" w:hAnsi="宋体" w:eastAsia="楷体_GB2312"/>
          <w:kern w:val="3"/>
        </w:rPr>
        <w:t>加油站相关照片</w:t>
      </w:r>
      <w:bookmarkEnd w:id="7"/>
    </w:p>
    <w:p w14:paraId="40DA0883">
      <w:pPr>
        <w:rPr>
          <w:rFonts w:hint="eastAsia" w:eastAsia="宋体"/>
          <w:lang w:eastAsia="zh-CN"/>
        </w:rPr>
      </w:pPr>
      <w:r>
        <w:rPr>
          <w:rFonts w:hint="eastAsia" w:eastAsia="宋体"/>
          <w:lang w:eastAsia="zh-CN"/>
        </w:rPr>
        <w:drawing>
          <wp:inline distT="0" distB="0" distL="114300" distR="114300">
            <wp:extent cx="5264785" cy="3947160"/>
            <wp:effectExtent l="0" t="0" r="8255" b="0"/>
            <wp:docPr id="5" name="图片 5" descr="微信图片_2025070223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0702230301"/>
                    <pic:cNvPicPr>
                      <a:picLocks noChangeAspect="1"/>
                    </pic:cNvPicPr>
                  </pic:nvPicPr>
                  <pic:blipFill>
                    <a:blip r:embed="rId8"/>
                    <a:stretch>
                      <a:fillRect/>
                    </a:stretch>
                  </pic:blipFill>
                  <pic:spPr>
                    <a:xfrm>
                      <a:off x="0" y="0"/>
                      <a:ext cx="5264785" cy="3947160"/>
                    </a:xfrm>
                    <a:prstGeom prst="rect">
                      <a:avLst/>
                    </a:prstGeom>
                  </pic:spPr>
                </pic:pic>
              </a:graphicData>
            </a:graphic>
          </wp:inline>
        </w:drawing>
      </w:r>
    </w:p>
    <w:p w14:paraId="4A708798">
      <w:pPr>
        <w:ind w:firstLine="525"/>
        <w:jc w:val="center"/>
        <w:rPr>
          <w:rFonts w:ascii="宋体" w:hAnsi="宋体"/>
          <w:kern w:val="0"/>
          <w:sz w:val="24"/>
        </w:rPr>
      </w:pPr>
      <w:r>
        <w:rPr>
          <w:rFonts w:hint="eastAsia" w:ascii="宋体" w:hAnsi="宋体"/>
          <w:kern w:val="0"/>
          <w:sz w:val="24"/>
        </w:rPr>
        <w:t>加油站全景</w:t>
      </w:r>
    </w:p>
    <w:p w14:paraId="60BF1561">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323465" cy="2461260"/>
            <wp:effectExtent l="0" t="0" r="8255" b="7620"/>
            <wp:docPr id="10" name="图片 10" descr="微信图片_20250702230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507022303001"/>
                    <pic:cNvPicPr>
                      <a:picLocks noChangeAspect="1"/>
                    </pic:cNvPicPr>
                  </pic:nvPicPr>
                  <pic:blipFill>
                    <a:blip r:embed="rId9"/>
                    <a:stretch>
                      <a:fillRect/>
                    </a:stretch>
                  </pic:blipFill>
                  <pic:spPr>
                    <a:xfrm>
                      <a:off x="0" y="0"/>
                      <a:ext cx="2323465" cy="246126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548890" cy="2472055"/>
            <wp:effectExtent l="0" t="0" r="11430" b="12065"/>
            <wp:docPr id="11" name="图片 11" descr="微信图片_20250702230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507022302591"/>
                    <pic:cNvPicPr>
                      <a:picLocks noChangeAspect="1"/>
                    </pic:cNvPicPr>
                  </pic:nvPicPr>
                  <pic:blipFill>
                    <a:blip r:embed="rId10"/>
                    <a:stretch>
                      <a:fillRect/>
                    </a:stretch>
                  </pic:blipFill>
                  <pic:spPr>
                    <a:xfrm>
                      <a:off x="0" y="0"/>
                      <a:ext cx="2548890" cy="2472055"/>
                    </a:xfrm>
                    <a:prstGeom prst="rect">
                      <a:avLst/>
                    </a:prstGeom>
                  </pic:spPr>
                </pic:pic>
              </a:graphicData>
            </a:graphic>
          </wp:inline>
        </w:drawing>
      </w:r>
    </w:p>
    <w:p w14:paraId="30DC7727">
      <w:pPr>
        <w:ind w:firstLine="1680" w:firstLineChars="700"/>
        <w:rPr>
          <w:rFonts w:ascii="宋体" w:hAnsi="宋体"/>
          <w:kern w:val="0"/>
          <w:sz w:val="24"/>
        </w:rPr>
      </w:pPr>
      <w:r>
        <w:rPr>
          <w:rFonts w:hint="eastAsia" w:ascii="宋体" w:hAnsi="宋体"/>
          <w:kern w:val="0"/>
          <w:sz w:val="24"/>
        </w:rPr>
        <w:t>油罐区                          加油机</w:t>
      </w:r>
    </w:p>
    <w:p w14:paraId="152897AC">
      <w:pPr>
        <w:jc w:val="both"/>
        <w:rPr>
          <w:rFonts w:hint="eastAsia" w:ascii="宋体" w:hAnsi="宋体"/>
          <w:kern w:val="0"/>
          <w:sz w:val="24"/>
          <w:lang w:val="en-US" w:eastAsia="zh-CN"/>
        </w:rPr>
      </w:pPr>
      <w:r>
        <w:rPr>
          <w:rFonts w:hint="eastAsia" w:ascii="宋体" w:hAnsi="宋体"/>
          <w:kern w:val="0"/>
          <w:sz w:val="24"/>
          <w:lang w:val="en-US" w:eastAsia="zh-CN"/>
        </w:rPr>
        <w:drawing>
          <wp:inline distT="0" distB="0" distL="114300" distR="114300">
            <wp:extent cx="2404745" cy="2359660"/>
            <wp:effectExtent l="0" t="0" r="3175" b="2540"/>
            <wp:docPr id="13" name="图片 13" descr="微信图片_2025070223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50702230305"/>
                    <pic:cNvPicPr>
                      <a:picLocks noChangeAspect="1"/>
                    </pic:cNvPicPr>
                  </pic:nvPicPr>
                  <pic:blipFill>
                    <a:blip r:embed="rId11"/>
                    <a:stretch>
                      <a:fillRect/>
                    </a:stretch>
                  </pic:blipFill>
                  <pic:spPr>
                    <a:xfrm>
                      <a:off x="0" y="0"/>
                      <a:ext cx="2404745" cy="235966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kern w:val="0"/>
          <w:sz w:val="24"/>
          <w:lang w:val="en-US" w:eastAsia="zh-CN"/>
        </w:rPr>
        <w:drawing>
          <wp:inline distT="0" distB="0" distL="114300" distR="114300">
            <wp:extent cx="2268220" cy="2404110"/>
            <wp:effectExtent l="0" t="0" r="2540" b="3810"/>
            <wp:docPr id="14" name="图片 14" descr="微信图片_2025070223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50702230258"/>
                    <pic:cNvPicPr>
                      <a:picLocks noChangeAspect="1"/>
                    </pic:cNvPicPr>
                  </pic:nvPicPr>
                  <pic:blipFill>
                    <a:blip r:embed="rId12"/>
                    <a:stretch>
                      <a:fillRect/>
                    </a:stretch>
                  </pic:blipFill>
                  <pic:spPr>
                    <a:xfrm>
                      <a:off x="0" y="0"/>
                      <a:ext cx="2268220" cy="2404110"/>
                    </a:xfrm>
                    <a:prstGeom prst="rect">
                      <a:avLst/>
                    </a:prstGeom>
                  </pic:spPr>
                </pic:pic>
              </a:graphicData>
            </a:graphic>
          </wp:inline>
        </w:drawing>
      </w:r>
      <w:r>
        <w:rPr>
          <w:rFonts w:hint="eastAsia" w:ascii="宋体" w:hAnsi="宋体"/>
          <w:kern w:val="0"/>
          <w:sz w:val="24"/>
          <w:lang w:val="en-US" w:eastAsia="zh-CN"/>
        </w:rPr>
        <w:t xml:space="preserve">  </w:t>
      </w:r>
    </w:p>
    <w:p w14:paraId="6796757F">
      <w:pPr>
        <w:jc w:val="both"/>
        <w:rPr>
          <w:rFonts w:hint="default" w:ascii="宋体" w:hAnsi="宋体"/>
          <w:kern w:val="0"/>
          <w:sz w:val="24"/>
          <w:lang w:val="en-US" w:eastAsia="zh-CN"/>
        </w:rPr>
      </w:pPr>
      <w:r>
        <w:rPr>
          <w:rFonts w:hint="eastAsia" w:ascii="宋体" w:hAnsi="宋体"/>
          <w:kern w:val="0"/>
          <w:sz w:val="24"/>
          <w:lang w:val="en-US" w:eastAsia="zh-CN"/>
        </w:rPr>
        <w:t xml:space="preserve">               卸油口                 操作井</w:t>
      </w:r>
    </w:p>
    <w:p w14:paraId="5BD90126">
      <w:pPr>
        <w:jc w:val="both"/>
        <w:rPr>
          <w:rFonts w:hint="eastAsia" w:ascii="宋体" w:hAnsi="宋体" w:eastAsia="宋体"/>
          <w:kern w:val="0"/>
          <w:sz w:val="24"/>
          <w:lang w:eastAsia="zh-CN"/>
        </w:rPr>
      </w:pPr>
      <w:r>
        <w:rPr>
          <w:rFonts w:hint="eastAsia"/>
          <w:lang w:val="en-US" w:eastAsia="zh-CN"/>
        </w:rPr>
        <w:t xml:space="preserve"> </w:t>
      </w:r>
      <w:r>
        <w:rPr>
          <w:rFonts w:hint="eastAsia" w:ascii="宋体" w:hAnsi="宋体"/>
          <w:kern w:val="0"/>
          <w:sz w:val="24"/>
          <w:lang w:val="en-US" w:eastAsia="zh-CN"/>
        </w:rPr>
        <w:drawing>
          <wp:inline distT="0" distB="0" distL="114300" distR="114300">
            <wp:extent cx="2428240" cy="2449830"/>
            <wp:effectExtent l="0" t="0" r="10160" b="7620"/>
            <wp:docPr id="7" name="图片 7" descr="微信图片_2025061809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50618093325"/>
                    <pic:cNvPicPr>
                      <a:picLocks noChangeAspect="1"/>
                    </pic:cNvPicPr>
                  </pic:nvPicPr>
                  <pic:blipFill>
                    <a:blip r:embed="rId13"/>
                    <a:stretch>
                      <a:fillRect/>
                    </a:stretch>
                  </pic:blipFill>
                  <pic:spPr>
                    <a:xfrm>
                      <a:off x="0" y="0"/>
                      <a:ext cx="2428240" cy="244983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182495" cy="2448560"/>
            <wp:effectExtent l="0" t="0" r="12065" b="5080"/>
            <wp:docPr id="15" name="图片 15" descr="微信图片_2025070223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50702230255"/>
                    <pic:cNvPicPr>
                      <a:picLocks noChangeAspect="1"/>
                    </pic:cNvPicPr>
                  </pic:nvPicPr>
                  <pic:blipFill>
                    <a:blip r:embed="rId14"/>
                    <a:stretch>
                      <a:fillRect/>
                    </a:stretch>
                  </pic:blipFill>
                  <pic:spPr>
                    <a:xfrm>
                      <a:off x="0" y="0"/>
                      <a:ext cx="2182495" cy="2448560"/>
                    </a:xfrm>
                    <a:prstGeom prst="rect">
                      <a:avLst/>
                    </a:prstGeom>
                  </pic:spPr>
                </pic:pic>
              </a:graphicData>
            </a:graphic>
          </wp:inline>
        </w:drawing>
      </w:r>
    </w:p>
    <w:p w14:paraId="748FABFD">
      <w:pPr>
        <w:ind w:firstLine="720" w:firstLineChars="300"/>
        <w:rPr>
          <w:rFonts w:hint="eastAsia" w:ascii="宋体" w:hAnsi="宋体" w:eastAsia="宋体"/>
          <w:kern w:val="0"/>
          <w:sz w:val="24"/>
          <w:lang w:eastAsia="zh-CN"/>
        </w:rPr>
      </w:pPr>
      <w:r>
        <w:rPr>
          <w:rFonts w:hint="eastAsia" w:ascii="宋体" w:hAnsi="宋体"/>
          <w:kern w:val="0"/>
          <w:sz w:val="24"/>
        </w:rPr>
        <w:t>消防</w:t>
      </w:r>
      <w:r>
        <w:rPr>
          <w:rFonts w:hint="eastAsia" w:ascii="宋体" w:hAnsi="宋体"/>
          <w:kern w:val="0"/>
          <w:sz w:val="24"/>
          <w:lang w:val="en-US" w:eastAsia="zh-CN"/>
        </w:rPr>
        <w:t>器材                                   加油区</w:t>
      </w:r>
    </w:p>
    <w:p w14:paraId="34285562">
      <w:pPr>
        <w:jc w:val="both"/>
        <w:rPr>
          <w:rFonts w:hint="eastAsia" w:ascii="宋体" w:hAnsi="宋体" w:eastAsia="宋体"/>
          <w:kern w:val="0"/>
          <w:sz w:val="24"/>
          <w:lang w:eastAsia="zh-CN"/>
        </w:rPr>
      </w:pPr>
      <w:r>
        <w:rPr>
          <w:rFonts w:hint="eastAsia"/>
          <w:lang w:val="en-US" w:eastAsia="zh-CN"/>
        </w:rPr>
        <w:t xml:space="preserve"> </w:t>
      </w:r>
      <w:r>
        <w:rPr>
          <w:rFonts w:hint="eastAsia"/>
          <w:lang w:val="en-US" w:eastAsia="zh-CN"/>
        </w:rPr>
        <w:drawing>
          <wp:inline distT="0" distB="0" distL="114300" distR="114300">
            <wp:extent cx="2339340" cy="2569210"/>
            <wp:effectExtent l="0" t="0" r="7620" b="6350"/>
            <wp:docPr id="31" name="图片 31" descr="微信图片_2025070223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图片_20250702230259"/>
                    <pic:cNvPicPr>
                      <a:picLocks noChangeAspect="1"/>
                    </pic:cNvPicPr>
                  </pic:nvPicPr>
                  <pic:blipFill>
                    <a:blip r:embed="rId15"/>
                    <a:stretch>
                      <a:fillRect/>
                    </a:stretch>
                  </pic:blipFill>
                  <pic:spPr>
                    <a:xfrm>
                      <a:off x="0" y="0"/>
                      <a:ext cx="2339340" cy="2569210"/>
                    </a:xfrm>
                    <a:prstGeom prst="rect">
                      <a:avLst/>
                    </a:prstGeom>
                  </pic:spPr>
                </pic:pic>
              </a:graphicData>
            </a:graphic>
          </wp:inline>
        </w:drawing>
      </w:r>
      <w:r>
        <w:rPr>
          <w:rFonts w:hint="eastAsia"/>
          <w:lang w:val="en-US" w:eastAsia="zh-CN"/>
        </w:rPr>
        <w:t xml:space="preserve">   </w:t>
      </w:r>
      <w:r>
        <w:rPr>
          <w:rFonts w:hint="eastAsia" w:ascii="宋体" w:hAnsi="宋体" w:eastAsia="宋体"/>
          <w:kern w:val="0"/>
          <w:sz w:val="24"/>
          <w:lang w:eastAsia="zh-CN"/>
        </w:rPr>
        <w:drawing>
          <wp:inline distT="0" distB="0" distL="114300" distR="114300">
            <wp:extent cx="2218690" cy="2545715"/>
            <wp:effectExtent l="0" t="0" r="6350" b="14605"/>
            <wp:docPr id="22" name="图片 22" descr="微信图片_202507022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图片_20250702230257"/>
                    <pic:cNvPicPr>
                      <a:picLocks noChangeAspect="1"/>
                    </pic:cNvPicPr>
                  </pic:nvPicPr>
                  <pic:blipFill>
                    <a:blip r:embed="rId16"/>
                    <a:stretch>
                      <a:fillRect/>
                    </a:stretch>
                  </pic:blipFill>
                  <pic:spPr>
                    <a:xfrm>
                      <a:off x="0" y="0"/>
                      <a:ext cx="2218690" cy="2545715"/>
                    </a:xfrm>
                    <a:prstGeom prst="rect">
                      <a:avLst/>
                    </a:prstGeom>
                  </pic:spPr>
                </pic:pic>
              </a:graphicData>
            </a:graphic>
          </wp:inline>
        </w:drawing>
      </w:r>
    </w:p>
    <w:p w14:paraId="106F256F">
      <w:pPr>
        <w:jc w:val="center"/>
        <w:rPr>
          <w:rFonts w:ascii="宋体" w:hAnsi="宋体"/>
          <w:kern w:val="0"/>
          <w:sz w:val="24"/>
        </w:rPr>
      </w:pPr>
      <w:r>
        <w:rPr>
          <w:rFonts w:hint="eastAsia" w:ascii="宋体" w:hAnsi="宋体"/>
          <w:kern w:val="0"/>
          <w:sz w:val="24"/>
          <w:lang w:val="en-US" w:eastAsia="zh-CN"/>
        </w:rPr>
        <w:t>消防沙</w:t>
      </w:r>
      <w:r>
        <w:rPr>
          <w:rFonts w:hint="eastAsia" w:ascii="宋体" w:hAnsi="宋体"/>
          <w:kern w:val="0"/>
          <w:sz w:val="24"/>
        </w:rPr>
        <w:t xml:space="preserve">                      </w:t>
      </w:r>
      <w:r>
        <w:rPr>
          <w:rFonts w:hint="eastAsia" w:ascii="宋体" w:hAnsi="宋体"/>
          <w:kern w:val="0"/>
          <w:sz w:val="24"/>
          <w:lang w:val="en-US" w:eastAsia="zh-CN"/>
        </w:rPr>
        <w:t>液位</w:t>
      </w:r>
      <w:r>
        <w:rPr>
          <w:rFonts w:hint="eastAsia" w:ascii="宋体" w:hAnsi="宋体"/>
          <w:kern w:val="0"/>
          <w:sz w:val="24"/>
        </w:rPr>
        <w:t>仪</w:t>
      </w:r>
    </w:p>
    <w:p w14:paraId="75173EC3">
      <w:pPr>
        <w:rPr>
          <w:rFonts w:ascii="宋体" w:hAnsi="宋体"/>
          <w:kern w:val="0"/>
          <w:sz w:val="24"/>
        </w:rPr>
      </w:pPr>
    </w:p>
    <w:p w14:paraId="0C9BBDC9">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491740" cy="2321560"/>
            <wp:effectExtent l="0" t="0" r="7620" b="10160"/>
            <wp:docPr id="20" name="图片 20" descr="微信图片_2025070223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50702230252"/>
                    <pic:cNvPicPr>
                      <a:picLocks noChangeAspect="1"/>
                    </pic:cNvPicPr>
                  </pic:nvPicPr>
                  <pic:blipFill>
                    <a:blip r:embed="rId17"/>
                    <a:stretch>
                      <a:fillRect/>
                    </a:stretch>
                  </pic:blipFill>
                  <pic:spPr>
                    <a:xfrm>
                      <a:off x="0" y="0"/>
                      <a:ext cx="2491740" cy="232156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18385" cy="2334895"/>
            <wp:effectExtent l="0" t="0" r="13335" b="12065"/>
            <wp:docPr id="21" name="图片 21" descr="微信图片_2025070223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50702230304"/>
                    <pic:cNvPicPr>
                      <a:picLocks noChangeAspect="1"/>
                    </pic:cNvPicPr>
                  </pic:nvPicPr>
                  <pic:blipFill>
                    <a:blip r:embed="rId18"/>
                    <a:stretch>
                      <a:fillRect/>
                    </a:stretch>
                  </pic:blipFill>
                  <pic:spPr>
                    <a:xfrm>
                      <a:off x="0" y="0"/>
                      <a:ext cx="2318385" cy="2334895"/>
                    </a:xfrm>
                    <a:prstGeom prst="rect">
                      <a:avLst/>
                    </a:prstGeom>
                  </pic:spPr>
                </pic:pic>
              </a:graphicData>
            </a:graphic>
          </wp:inline>
        </w:drawing>
      </w:r>
    </w:p>
    <w:p w14:paraId="599F672D">
      <w:pPr>
        <w:ind w:firstLine="960" w:firstLineChars="400"/>
        <w:rPr>
          <w:rFonts w:ascii="宋体" w:hAnsi="宋体"/>
          <w:kern w:val="0"/>
          <w:sz w:val="24"/>
        </w:rPr>
      </w:pPr>
      <w:r>
        <w:rPr>
          <w:rFonts w:hint="eastAsia" w:ascii="宋体" w:hAnsi="宋体"/>
          <w:kern w:val="0"/>
          <w:sz w:val="24"/>
        </w:rPr>
        <w:t>配电室                           安全警示标志</w:t>
      </w:r>
    </w:p>
    <w:p w14:paraId="47EB4894">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480945" cy="2436495"/>
            <wp:effectExtent l="0" t="0" r="3175" b="1905"/>
            <wp:docPr id="24" name="图片 24" descr="微信图片_20250702230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507022302571"/>
                    <pic:cNvPicPr>
                      <a:picLocks noChangeAspect="1"/>
                    </pic:cNvPicPr>
                  </pic:nvPicPr>
                  <pic:blipFill>
                    <a:blip r:embed="rId19"/>
                    <a:stretch>
                      <a:fillRect/>
                    </a:stretch>
                  </pic:blipFill>
                  <pic:spPr>
                    <a:xfrm>
                      <a:off x="0" y="0"/>
                      <a:ext cx="2480945" cy="2436495"/>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232660" cy="2353945"/>
            <wp:effectExtent l="0" t="0" r="7620" b="8255"/>
            <wp:docPr id="26" name="图片 26" descr="微信图片_2025070223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250702230242"/>
                    <pic:cNvPicPr>
                      <a:picLocks noChangeAspect="1"/>
                    </pic:cNvPicPr>
                  </pic:nvPicPr>
                  <pic:blipFill>
                    <a:blip r:embed="rId20"/>
                    <a:stretch>
                      <a:fillRect/>
                    </a:stretch>
                  </pic:blipFill>
                  <pic:spPr>
                    <a:xfrm>
                      <a:off x="0" y="0"/>
                      <a:ext cx="2232660" cy="2353945"/>
                    </a:xfrm>
                    <a:prstGeom prst="rect">
                      <a:avLst/>
                    </a:prstGeom>
                  </pic:spPr>
                </pic:pic>
              </a:graphicData>
            </a:graphic>
          </wp:inline>
        </w:drawing>
      </w:r>
    </w:p>
    <w:p w14:paraId="2AECFA26">
      <w:pPr>
        <w:ind w:firstLine="1320" w:firstLineChars="550"/>
        <w:rPr>
          <w:rFonts w:hint="eastAsia" w:ascii="宋体" w:hAnsi="宋体" w:eastAsia="宋体"/>
          <w:kern w:val="0"/>
          <w:sz w:val="24"/>
          <w:lang w:val="en-US" w:eastAsia="zh-CN"/>
        </w:rPr>
      </w:pPr>
      <w:r>
        <w:rPr>
          <w:rFonts w:hint="eastAsia" w:ascii="宋体" w:hAnsi="宋体"/>
          <w:kern w:val="0"/>
          <w:sz w:val="24"/>
          <w:lang w:val="en-US" w:eastAsia="zh-CN"/>
        </w:rPr>
        <w:t>泄漏检测仪</w:t>
      </w:r>
      <w:r>
        <w:rPr>
          <w:rFonts w:hint="eastAsia" w:ascii="宋体" w:hAnsi="宋体"/>
          <w:kern w:val="0"/>
          <w:sz w:val="24"/>
        </w:rPr>
        <w:t xml:space="preserve">                          </w:t>
      </w:r>
      <w:r>
        <w:rPr>
          <w:rFonts w:hint="eastAsia" w:ascii="宋体" w:hAnsi="宋体"/>
          <w:kern w:val="0"/>
          <w:sz w:val="24"/>
          <w:lang w:val="en-US" w:eastAsia="zh-CN"/>
        </w:rPr>
        <w:t>制度、操作规程</w:t>
      </w:r>
    </w:p>
    <w:p w14:paraId="4D895DE4">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468880" cy="2461895"/>
            <wp:effectExtent l="0" t="0" r="0" b="6985"/>
            <wp:docPr id="27" name="图片 27" descr="微信图片_2025070223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50702230246"/>
                    <pic:cNvPicPr>
                      <a:picLocks noChangeAspect="1"/>
                    </pic:cNvPicPr>
                  </pic:nvPicPr>
                  <pic:blipFill>
                    <a:blip r:embed="rId21"/>
                    <a:stretch>
                      <a:fillRect/>
                    </a:stretch>
                  </pic:blipFill>
                  <pic:spPr>
                    <a:xfrm>
                      <a:off x="0" y="0"/>
                      <a:ext cx="2468880" cy="2461895"/>
                    </a:xfrm>
                    <a:prstGeom prst="rect">
                      <a:avLst/>
                    </a:prstGeom>
                  </pic:spPr>
                </pic:pic>
              </a:graphicData>
            </a:graphic>
          </wp:inline>
        </w:drawing>
      </w:r>
      <w:r>
        <w:rPr>
          <w:rFonts w:hint="eastAsia" w:ascii="宋体" w:hAnsi="宋体"/>
          <w:kern w:val="0"/>
          <w:sz w:val="24"/>
          <w:lang w:val="en-US" w:eastAsia="zh-CN"/>
        </w:rPr>
        <w:t xml:space="preserve">  </w:t>
      </w:r>
      <w:r>
        <w:rPr>
          <w:rFonts w:hint="eastAsia"/>
          <w:lang w:val="en-US" w:eastAsia="zh-CN"/>
        </w:rPr>
        <w:drawing>
          <wp:inline distT="0" distB="0" distL="114300" distR="114300">
            <wp:extent cx="2188845" cy="2353310"/>
            <wp:effectExtent l="0" t="0" r="5715" b="8890"/>
            <wp:docPr id="28" name="图片 28" descr="微信图片_2025070223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50702230254"/>
                    <pic:cNvPicPr>
                      <a:picLocks noChangeAspect="1"/>
                    </pic:cNvPicPr>
                  </pic:nvPicPr>
                  <pic:blipFill>
                    <a:blip r:embed="rId22"/>
                    <a:stretch>
                      <a:fillRect/>
                    </a:stretch>
                  </pic:blipFill>
                  <pic:spPr>
                    <a:xfrm>
                      <a:off x="0" y="0"/>
                      <a:ext cx="2188845" cy="2353310"/>
                    </a:xfrm>
                    <a:prstGeom prst="rect">
                      <a:avLst/>
                    </a:prstGeom>
                  </pic:spPr>
                </pic:pic>
              </a:graphicData>
            </a:graphic>
          </wp:inline>
        </w:drawing>
      </w:r>
    </w:p>
    <w:p w14:paraId="7ADCB2A6">
      <w:pPr>
        <w:rPr>
          <w:rFonts w:hint="default" w:ascii="宋体" w:hAnsi="宋体" w:eastAsia="宋体"/>
          <w:kern w:val="0"/>
          <w:sz w:val="24"/>
          <w:lang w:val="en-US" w:eastAsia="zh-CN"/>
        </w:rPr>
      </w:pPr>
      <w:r>
        <w:rPr>
          <w:rFonts w:hint="eastAsia" w:ascii="宋体" w:hAnsi="宋体"/>
          <w:kern w:val="0"/>
          <w:sz w:val="24"/>
        </w:rPr>
        <w:t xml:space="preserve">            </w:t>
      </w:r>
      <w:r>
        <w:rPr>
          <w:rFonts w:hint="eastAsia" w:ascii="宋体" w:hAnsi="宋体"/>
          <w:kern w:val="0"/>
          <w:sz w:val="24"/>
          <w:lang w:val="en-US" w:eastAsia="zh-CN"/>
        </w:rPr>
        <w:t>急停按钮</w:t>
      </w:r>
      <w:r>
        <w:rPr>
          <w:rFonts w:hint="eastAsia" w:ascii="宋体" w:hAnsi="宋体"/>
          <w:kern w:val="0"/>
          <w:sz w:val="24"/>
        </w:rPr>
        <w:t xml:space="preserve">           </w:t>
      </w:r>
      <w:r>
        <w:rPr>
          <w:rFonts w:hint="eastAsia" w:ascii="宋体" w:hAnsi="宋体"/>
          <w:kern w:val="0"/>
          <w:sz w:val="24"/>
          <w:lang w:val="en-US" w:eastAsia="zh-CN"/>
        </w:rPr>
        <w:t xml:space="preserve">       </w:t>
      </w:r>
      <w:r>
        <w:rPr>
          <w:rFonts w:hint="eastAsia" w:ascii="宋体" w:hAnsi="宋体"/>
          <w:kern w:val="0"/>
          <w:sz w:val="24"/>
        </w:rPr>
        <w:t xml:space="preserve">  </w:t>
      </w:r>
      <w:r>
        <w:rPr>
          <w:rFonts w:hint="eastAsia" w:ascii="宋体" w:hAnsi="宋体"/>
          <w:kern w:val="0"/>
          <w:sz w:val="24"/>
          <w:lang w:val="en-US" w:eastAsia="zh-CN"/>
        </w:rPr>
        <w:t>加油机急停按钮</w:t>
      </w:r>
    </w:p>
    <w:p w14:paraId="4466DA52">
      <w:pPr>
        <w:ind w:firstLine="1320" w:firstLineChars="550"/>
        <w:rPr>
          <w:rFonts w:ascii="宋体" w:hAnsi="宋体"/>
          <w:kern w:val="0"/>
          <w:sz w:val="24"/>
        </w:rPr>
      </w:pPr>
    </w:p>
    <w:p w14:paraId="3486DE23">
      <w:pPr>
        <w:ind w:firstLine="1320" w:firstLineChars="550"/>
        <w:rPr>
          <w:rFonts w:ascii="宋体" w:hAnsi="宋体"/>
          <w:kern w:val="0"/>
          <w:sz w:val="24"/>
        </w:rPr>
      </w:pPr>
    </w:p>
    <w:p w14:paraId="691708DD">
      <w:pPr>
        <w:ind w:firstLine="1320" w:firstLineChars="550"/>
        <w:rPr>
          <w:rFonts w:ascii="宋体" w:hAnsi="宋体"/>
          <w:kern w:val="0"/>
          <w:sz w:val="24"/>
        </w:rPr>
      </w:pPr>
    </w:p>
    <w:p w14:paraId="18A36C85">
      <w:pPr>
        <w:rPr>
          <w:rFonts w:hint="eastAsia" w:ascii="宋体" w:hAnsi="宋体" w:eastAsia="宋体"/>
          <w:kern w:val="0"/>
          <w:sz w:val="24"/>
          <w:lang w:eastAsia="zh-CN"/>
        </w:rPr>
      </w:pPr>
      <w:r>
        <w:rPr>
          <w:rFonts w:hint="eastAsia" w:ascii="宋体" w:hAnsi="宋体" w:eastAsia="宋体"/>
          <w:kern w:val="0"/>
          <w:sz w:val="24"/>
          <w:lang w:eastAsia="zh-CN"/>
        </w:rPr>
        <w:drawing>
          <wp:inline distT="0" distB="0" distL="114300" distR="114300">
            <wp:extent cx="5264785" cy="3947160"/>
            <wp:effectExtent l="0" t="0" r="8255" b="0"/>
            <wp:docPr id="33" name="图片 33" descr="微信图片_2025070223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微信图片_20250702230236"/>
                    <pic:cNvPicPr>
                      <a:picLocks noChangeAspect="1"/>
                    </pic:cNvPicPr>
                  </pic:nvPicPr>
                  <pic:blipFill>
                    <a:blip r:embed="rId23"/>
                    <a:stretch>
                      <a:fillRect/>
                    </a:stretch>
                  </pic:blipFill>
                  <pic:spPr>
                    <a:xfrm>
                      <a:off x="0" y="0"/>
                      <a:ext cx="5264785" cy="3947160"/>
                    </a:xfrm>
                    <a:prstGeom prst="rect">
                      <a:avLst/>
                    </a:prstGeom>
                  </pic:spPr>
                </pic:pic>
              </a:graphicData>
            </a:graphic>
          </wp:inline>
        </w:drawing>
      </w:r>
    </w:p>
    <w:p w14:paraId="6C7F236D">
      <w:pPr>
        <w:ind w:firstLine="240" w:firstLineChars="100"/>
        <w:rPr>
          <w:rFonts w:ascii="宋体" w:hAnsi="宋体"/>
          <w:kern w:val="0"/>
          <w:sz w:val="24"/>
        </w:rPr>
      </w:pPr>
      <w:r>
        <w:rPr>
          <w:rFonts w:hint="eastAsia" w:ascii="宋体" w:hAnsi="宋体"/>
          <w:kern w:val="0"/>
          <w:sz w:val="24"/>
        </w:rPr>
        <w:t>现场人员（</w:t>
      </w:r>
      <w:r>
        <w:rPr>
          <w:rFonts w:hint="eastAsia" w:ascii="宋体" w:hAnsi="宋体"/>
          <w:kern w:val="0"/>
          <w:sz w:val="24"/>
          <w:lang w:val="en-US" w:eastAsia="zh-CN"/>
        </w:rPr>
        <w:t>左</w:t>
      </w:r>
      <w:r>
        <w:rPr>
          <w:rFonts w:hint="eastAsia" w:ascii="宋体" w:hAnsi="宋体"/>
          <w:kern w:val="0"/>
          <w:sz w:val="24"/>
        </w:rPr>
        <w:t>起：评价师</w:t>
      </w:r>
      <w:r>
        <w:rPr>
          <w:rFonts w:hint="eastAsia" w:ascii="宋体" w:hAnsi="宋体"/>
          <w:kern w:val="0"/>
          <w:sz w:val="24"/>
          <w:lang w:val="en-US" w:eastAsia="zh-CN"/>
        </w:rPr>
        <w:t>李晓达</w:t>
      </w:r>
      <w:r>
        <w:rPr>
          <w:rFonts w:hint="eastAsia" w:ascii="宋体" w:hAnsi="宋体"/>
          <w:kern w:val="0"/>
          <w:sz w:val="24"/>
          <w:lang w:eastAsia="zh-CN"/>
        </w:rPr>
        <w:t>、</w:t>
      </w:r>
      <w:r>
        <w:rPr>
          <w:rFonts w:hint="eastAsia" w:ascii="宋体" w:hAnsi="宋体"/>
          <w:kern w:val="0"/>
          <w:sz w:val="24"/>
        </w:rPr>
        <w:t>加油站人员</w:t>
      </w:r>
      <w:r>
        <w:rPr>
          <w:rFonts w:hint="eastAsia" w:ascii="宋体" w:hAnsi="宋体"/>
          <w:kern w:val="0"/>
          <w:sz w:val="24"/>
          <w:lang w:eastAsia="zh-CN"/>
        </w:rPr>
        <w:t>、</w:t>
      </w:r>
      <w:r>
        <w:rPr>
          <w:rFonts w:hint="eastAsia" w:ascii="宋体" w:hAnsi="宋体"/>
          <w:kern w:val="0"/>
          <w:sz w:val="24"/>
        </w:rPr>
        <w:t xml:space="preserve">评价师林早鹏）          </w:t>
      </w:r>
    </w:p>
    <w:p w14:paraId="2BCA5550">
      <w:pPr>
        <w:rPr>
          <w:rFonts w:ascii="宋体" w:hAnsi="宋体"/>
          <w:kern w:val="0"/>
          <w:sz w:val="24"/>
        </w:rPr>
      </w:pPr>
    </w:p>
    <w:p w14:paraId="3EAE2B44">
      <w:pPr>
        <w:rPr>
          <w:rFonts w:ascii="宋体" w:hAnsi="宋体"/>
          <w:kern w:val="0"/>
          <w:sz w:val="24"/>
        </w:rPr>
      </w:pPr>
    </w:p>
    <w:p w14:paraId="5B100B07">
      <w:pPr>
        <w:rPr>
          <w:rFonts w:ascii="宋体" w:hAnsi="宋体"/>
          <w:kern w:val="0"/>
          <w:sz w:val="24"/>
        </w:rPr>
      </w:pPr>
    </w:p>
    <w:p w14:paraId="3D46D0C3">
      <w:pPr>
        <w:rPr>
          <w:rFonts w:ascii="宋体" w:hAnsi="宋体"/>
          <w:kern w:val="0"/>
          <w:sz w:val="24"/>
        </w:rPr>
      </w:pPr>
    </w:p>
    <w:p w14:paraId="2B5BD823">
      <w:pPr>
        <w:rPr>
          <w:rFonts w:ascii="宋体" w:hAnsi="宋体"/>
          <w:kern w:val="0"/>
          <w:sz w:val="24"/>
        </w:rPr>
      </w:pPr>
    </w:p>
    <w:p w14:paraId="6E1E8CB8">
      <w:pPr>
        <w:rPr>
          <w:rFonts w:ascii="宋体" w:hAnsi="宋体"/>
          <w:kern w:val="0"/>
          <w:sz w:val="24"/>
        </w:rPr>
      </w:pPr>
    </w:p>
    <w:p w14:paraId="1D1F8949">
      <w:pPr>
        <w:rPr>
          <w:rFonts w:ascii="宋体" w:hAnsi="宋体"/>
          <w:kern w:val="0"/>
          <w:sz w:val="24"/>
        </w:rPr>
      </w:pPr>
    </w:p>
    <w:p w14:paraId="72950B29">
      <w:pPr>
        <w:rPr>
          <w:rFonts w:ascii="宋体" w:hAnsi="宋体"/>
          <w:kern w:val="0"/>
          <w:sz w:val="24"/>
        </w:rPr>
      </w:pPr>
    </w:p>
    <w:p w14:paraId="3BFB8812">
      <w:pPr>
        <w:rPr>
          <w:rFonts w:ascii="宋体" w:hAnsi="宋体"/>
          <w:kern w:val="0"/>
          <w:sz w:val="24"/>
        </w:rPr>
      </w:pPr>
    </w:p>
    <w:p w14:paraId="3D679DEF">
      <w:pPr>
        <w:rPr>
          <w:rFonts w:ascii="宋体" w:hAnsi="宋体"/>
          <w:kern w:val="0"/>
          <w:sz w:val="24"/>
        </w:rPr>
      </w:pPr>
    </w:p>
    <w:p w14:paraId="7FE0096B">
      <w:pPr>
        <w:rPr>
          <w:rFonts w:ascii="宋体" w:hAnsi="宋体"/>
          <w:kern w:val="0"/>
          <w:sz w:val="24"/>
        </w:rPr>
      </w:pPr>
    </w:p>
    <w:p w14:paraId="0AE0219E">
      <w:pPr>
        <w:rPr>
          <w:rFonts w:ascii="宋体" w:hAnsi="宋体"/>
          <w:kern w:val="0"/>
          <w:sz w:val="24"/>
        </w:rPr>
      </w:pPr>
    </w:p>
    <w:p w14:paraId="499EB683">
      <w:pPr>
        <w:rPr>
          <w:rFonts w:ascii="宋体" w:hAnsi="宋体"/>
          <w:kern w:val="0"/>
          <w:sz w:val="24"/>
        </w:rPr>
      </w:pPr>
    </w:p>
    <w:p w14:paraId="19325951">
      <w:pPr>
        <w:rPr>
          <w:rFonts w:ascii="宋体" w:hAnsi="宋体"/>
          <w:kern w:val="0"/>
          <w:sz w:val="24"/>
        </w:rPr>
      </w:pPr>
    </w:p>
    <w:p w14:paraId="0E6F71BA">
      <w:pPr>
        <w:rPr>
          <w:rFonts w:ascii="宋体" w:hAnsi="宋体"/>
          <w:kern w:val="0"/>
          <w:sz w:val="24"/>
        </w:rPr>
      </w:pPr>
    </w:p>
    <w:p w14:paraId="3F57305A">
      <w:pPr>
        <w:rPr>
          <w:rFonts w:ascii="宋体" w:hAnsi="宋体"/>
          <w:kern w:val="0"/>
          <w:sz w:val="24"/>
        </w:rPr>
      </w:pPr>
    </w:p>
    <w:p w14:paraId="1FB31D50">
      <w:pPr>
        <w:rPr>
          <w:rFonts w:ascii="宋体" w:hAnsi="宋体"/>
          <w:kern w:val="0"/>
          <w:sz w:val="24"/>
        </w:rPr>
      </w:pPr>
    </w:p>
    <w:p w14:paraId="1ADED5A4">
      <w:pPr>
        <w:rPr>
          <w:rFonts w:ascii="宋体" w:hAnsi="宋体"/>
          <w:kern w:val="0"/>
          <w:sz w:val="24"/>
        </w:rPr>
      </w:pPr>
    </w:p>
    <w:p w14:paraId="5480C277">
      <w:pPr>
        <w:rPr>
          <w:rFonts w:ascii="宋体" w:hAnsi="宋体"/>
          <w:kern w:val="0"/>
          <w:sz w:val="24"/>
        </w:rPr>
      </w:pPr>
    </w:p>
    <w:p w14:paraId="1E6E46AD">
      <w:pPr>
        <w:rPr>
          <w:rFonts w:ascii="宋体" w:hAnsi="宋体"/>
          <w:kern w:val="0"/>
          <w:sz w:val="24"/>
        </w:rPr>
      </w:pPr>
    </w:p>
    <w:p w14:paraId="09457074">
      <w:pPr>
        <w:rPr>
          <w:rFonts w:ascii="宋体" w:hAnsi="宋体"/>
          <w:kern w:val="0"/>
          <w:sz w:val="24"/>
        </w:rPr>
      </w:pPr>
    </w:p>
    <w:p w14:paraId="70340B73">
      <w:pPr>
        <w:rPr>
          <w:rFonts w:ascii="宋体" w:hAnsi="宋体"/>
          <w:kern w:val="0"/>
          <w:sz w:val="24"/>
        </w:rPr>
      </w:pPr>
    </w:p>
    <w:p w14:paraId="52E682E7">
      <w:pPr>
        <w:rPr>
          <w:rFonts w:ascii="宋体" w:hAnsi="宋体"/>
          <w:kern w:val="0"/>
          <w:sz w:val="24"/>
        </w:rPr>
      </w:pPr>
    </w:p>
    <w:p w14:paraId="7F931C5F">
      <w:pPr>
        <w:pStyle w:val="57"/>
        <w:ind w:firstLine="880"/>
        <w:jc w:val="center"/>
        <w:rPr>
          <w:rFonts w:ascii="宋体" w:hAnsi="宋体" w:eastAsia="宋体"/>
          <w:kern w:val="3"/>
          <w:sz w:val="44"/>
          <w:szCs w:val="44"/>
        </w:rPr>
      </w:pPr>
      <w:r>
        <w:rPr>
          <w:rFonts w:hint="eastAsia" w:ascii="宋体" w:hAnsi="宋体" w:eastAsia="宋体"/>
          <w:kern w:val="3"/>
          <w:sz w:val="44"/>
          <w:szCs w:val="44"/>
        </w:rPr>
        <w:t>目  录</w:t>
      </w:r>
    </w:p>
    <w:p w14:paraId="6E889E1E">
      <w:pPr>
        <w:pStyle w:val="25"/>
        <w:tabs>
          <w:tab w:val="right" w:leader="dot" w:pos="8296"/>
        </w:tabs>
        <w:rPr>
          <w:rFonts w:ascii="宋体" w:hAnsi="宋体"/>
          <w:smallCaps w:val="0"/>
          <w:sz w:val="28"/>
          <w:szCs w:val="28"/>
        </w:rPr>
      </w:pPr>
      <w:r>
        <w:rPr>
          <w:rFonts w:ascii="宋体" w:hAnsi="宋体"/>
          <w:sz w:val="28"/>
          <w:szCs w:val="28"/>
        </w:rPr>
        <w:fldChar w:fldCharType="begin"/>
      </w:r>
      <w:r>
        <w:rPr>
          <w:rStyle w:val="40"/>
          <w:rFonts w:ascii="宋体" w:hAnsi="宋体"/>
          <w:color w:val="auto"/>
          <w:sz w:val="28"/>
          <w:szCs w:val="28"/>
        </w:rPr>
        <w:instrText xml:space="preserve"> TOC \o "1-3" \h \z \u </w:instrText>
      </w:r>
      <w:r>
        <w:rPr>
          <w:rFonts w:ascii="宋体" w:hAnsi="宋体"/>
          <w:sz w:val="28"/>
          <w:szCs w:val="28"/>
        </w:rPr>
        <w:fldChar w:fldCharType="separate"/>
      </w:r>
      <w:r>
        <w:fldChar w:fldCharType="begin"/>
      </w:r>
      <w:r>
        <w:instrText xml:space="preserve"> HYPERLINK \l "_Toc71894854"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1</w:t>
      </w:r>
      <w:r>
        <w:rPr>
          <w:rStyle w:val="40"/>
          <w:rFonts w:hint="eastAsia" w:ascii="宋体" w:hAnsi="宋体"/>
          <w:color w:val="auto"/>
          <w:kern w:val="3"/>
          <w:sz w:val="28"/>
          <w:szCs w:val="28"/>
        </w:rPr>
        <w:t>章编制说明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_Toc71894854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4F07EFBE">
      <w:pPr>
        <w:pStyle w:val="25"/>
        <w:tabs>
          <w:tab w:val="right" w:leader="dot" w:pos="8296"/>
        </w:tabs>
        <w:rPr>
          <w:rFonts w:ascii="宋体" w:hAnsi="宋体"/>
          <w:smallCaps w:val="0"/>
          <w:sz w:val="28"/>
          <w:szCs w:val="28"/>
        </w:rPr>
      </w:pPr>
      <w:r>
        <w:fldChar w:fldCharType="begin"/>
      </w:r>
      <w:r>
        <w:instrText xml:space="preserve"> HYPERLINK \l "_Toc71894855" </w:instrText>
      </w:r>
      <w:r>
        <w:fldChar w:fldCharType="separate"/>
      </w:r>
      <w:r>
        <w:rPr>
          <w:rStyle w:val="40"/>
          <w:rFonts w:ascii="宋体" w:hAnsi="宋体"/>
          <w:color w:val="auto"/>
          <w:kern w:val="3"/>
          <w:sz w:val="28"/>
          <w:szCs w:val="28"/>
        </w:rPr>
        <w:t>1.1</w:t>
      </w:r>
      <w:r>
        <w:rPr>
          <w:rStyle w:val="40"/>
          <w:rFonts w:hint="eastAsia" w:ascii="宋体" w:hAnsi="宋体"/>
          <w:color w:val="auto"/>
          <w:kern w:val="3"/>
          <w:sz w:val="28"/>
          <w:szCs w:val="28"/>
        </w:rPr>
        <w:t>安全评价依据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_Toc71894855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243B63AD">
      <w:pPr>
        <w:pStyle w:val="25"/>
        <w:tabs>
          <w:tab w:val="right" w:leader="dot" w:pos="8296"/>
        </w:tabs>
        <w:rPr>
          <w:rFonts w:ascii="宋体" w:hAnsi="宋体"/>
          <w:smallCaps w:val="0"/>
          <w:sz w:val="28"/>
          <w:szCs w:val="28"/>
        </w:rPr>
      </w:pPr>
      <w:r>
        <w:fldChar w:fldCharType="begin"/>
      </w:r>
      <w:r>
        <w:instrText xml:space="preserve"> HYPERLINK \l "_Toc71894856" </w:instrText>
      </w:r>
      <w:r>
        <w:fldChar w:fldCharType="separate"/>
      </w:r>
      <w:r>
        <w:rPr>
          <w:rStyle w:val="40"/>
          <w:rFonts w:ascii="宋体" w:hAnsi="宋体"/>
          <w:color w:val="auto"/>
          <w:kern w:val="3"/>
          <w:sz w:val="28"/>
          <w:szCs w:val="28"/>
        </w:rPr>
        <w:t>1.1.1</w:t>
      </w:r>
      <w:r>
        <w:rPr>
          <w:rStyle w:val="40"/>
          <w:rFonts w:hint="eastAsia" w:ascii="宋体" w:hAnsi="宋体"/>
          <w:color w:val="auto"/>
          <w:kern w:val="3"/>
          <w:sz w:val="28"/>
          <w:szCs w:val="28"/>
        </w:rPr>
        <w:t>国家法律法规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_Toc71894856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7900D5AB">
      <w:pPr>
        <w:pStyle w:val="25"/>
        <w:tabs>
          <w:tab w:val="right" w:leader="dot" w:pos="8296"/>
        </w:tabs>
        <w:rPr>
          <w:rFonts w:ascii="宋体" w:hAnsi="宋体"/>
          <w:smallCaps w:val="0"/>
          <w:sz w:val="28"/>
          <w:szCs w:val="28"/>
        </w:rPr>
      </w:pPr>
      <w:r>
        <w:fldChar w:fldCharType="begin"/>
      </w:r>
      <w:r>
        <w:instrText xml:space="preserve"> HYPERLINK \l "_Toc71894857" </w:instrText>
      </w:r>
      <w:r>
        <w:fldChar w:fldCharType="separate"/>
      </w:r>
      <w:r>
        <w:rPr>
          <w:rStyle w:val="40"/>
          <w:rFonts w:ascii="宋体" w:hAnsi="宋体"/>
          <w:color w:val="auto"/>
          <w:kern w:val="3"/>
          <w:sz w:val="28"/>
          <w:szCs w:val="28"/>
        </w:rPr>
        <w:t>1.1.2</w:t>
      </w:r>
      <w:r>
        <w:rPr>
          <w:rStyle w:val="40"/>
          <w:rFonts w:hint="eastAsia" w:ascii="宋体" w:hAnsi="宋体"/>
          <w:color w:val="auto"/>
          <w:kern w:val="3"/>
          <w:sz w:val="28"/>
          <w:szCs w:val="28"/>
        </w:rPr>
        <w:t>部门规章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_Toc71894857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394013CB">
      <w:pPr>
        <w:pStyle w:val="25"/>
        <w:tabs>
          <w:tab w:val="right" w:leader="dot" w:pos="8296"/>
        </w:tabs>
        <w:rPr>
          <w:rFonts w:ascii="宋体" w:hAnsi="宋体"/>
          <w:smallCaps w:val="0"/>
          <w:sz w:val="28"/>
          <w:szCs w:val="28"/>
        </w:rPr>
      </w:pPr>
      <w:r>
        <w:fldChar w:fldCharType="begin"/>
      </w:r>
      <w:r>
        <w:instrText xml:space="preserve"> HYPERLINK \l "_Toc71894858" </w:instrText>
      </w:r>
      <w:r>
        <w:fldChar w:fldCharType="separate"/>
      </w:r>
      <w:r>
        <w:rPr>
          <w:rStyle w:val="40"/>
          <w:rFonts w:ascii="宋体" w:hAnsi="宋体"/>
          <w:color w:val="auto"/>
          <w:kern w:val="3"/>
          <w:sz w:val="28"/>
          <w:szCs w:val="28"/>
        </w:rPr>
        <w:t>1.1.3</w:t>
      </w:r>
      <w:r>
        <w:rPr>
          <w:rStyle w:val="40"/>
          <w:rFonts w:hint="eastAsia" w:ascii="宋体" w:hAnsi="宋体"/>
          <w:color w:val="auto"/>
          <w:kern w:val="3"/>
          <w:sz w:val="28"/>
          <w:szCs w:val="28"/>
        </w:rPr>
        <w:t>地方法规及文件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_Toc71894858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29C68D70">
      <w:pPr>
        <w:pStyle w:val="25"/>
        <w:tabs>
          <w:tab w:val="right" w:leader="dot" w:pos="8296"/>
        </w:tabs>
        <w:rPr>
          <w:rFonts w:ascii="宋体" w:hAnsi="宋体"/>
          <w:smallCaps w:val="0"/>
          <w:sz w:val="28"/>
          <w:szCs w:val="28"/>
        </w:rPr>
      </w:pPr>
      <w:r>
        <w:fldChar w:fldCharType="begin"/>
      </w:r>
      <w:r>
        <w:instrText xml:space="preserve"> HYPERLINK \l "_Toc71894859" </w:instrText>
      </w:r>
      <w:r>
        <w:fldChar w:fldCharType="separate"/>
      </w:r>
      <w:r>
        <w:rPr>
          <w:rStyle w:val="40"/>
          <w:rFonts w:ascii="宋体" w:hAnsi="宋体"/>
          <w:color w:val="auto"/>
          <w:kern w:val="3"/>
          <w:sz w:val="28"/>
          <w:szCs w:val="28"/>
        </w:rPr>
        <w:t>1.1.4</w:t>
      </w:r>
      <w:r>
        <w:rPr>
          <w:rStyle w:val="40"/>
          <w:rFonts w:hint="eastAsia" w:ascii="宋体" w:hAnsi="宋体"/>
          <w:color w:val="auto"/>
          <w:kern w:val="3"/>
          <w:sz w:val="28"/>
          <w:szCs w:val="28"/>
        </w:rPr>
        <w:t>国家标准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_Toc71894859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68C36C00">
      <w:pPr>
        <w:pStyle w:val="25"/>
        <w:tabs>
          <w:tab w:val="right" w:leader="dot" w:pos="8296"/>
        </w:tabs>
        <w:rPr>
          <w:rFonts w:ascii="宋体" w:hAnsi="宋体"/>
          <w:smallCaps w:val="0"/>
          <w:sz w:val="28"/>
          <w:szCs w:val="28"/>
        </w:rPr>
      </w:pPr>
      <w:r>
        <w:fldChar w:fldCharType="begin"/>
      </w:r>
      <w:r>
        <w:instrText xml:space="preserve"> HYPERLINK \l "_Toc71894860" </w:instrText>
      </w:r>
      <w:r>
        <w:fldChar w:fldCharType="separate"/>
      </w:r>
      <w:r>
        <w:rPr>
          <w:rStyle w:val="40"/>
          <w:rFonts w:ascii="宋体" w:hAnsi="宋体"/>
          <w:color w:val="auto"/>
          <w:kern w:val="3"/>
          <w:sz w:val="28"/>
          <w:szCs w:val="28"/>
        </w:rPr>
        <w:t>1.1.5</w:t>
      </w:r>
      <w:r>
        <w:rPr>
          <w:rStyle w:val="40"/>
          <w:rFonts w:hint="eastAsia" w:ascii="宋体" w:hAnsi="宋体"/>
          <w:color w:val="auto"/>
          <w:kern w:val="3"/>
          <w:sz w:val="28"/>
          <w:szCs w:val="28"/>
        </w:rPr>
        <w:t>行业标准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_Toc71894860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65DA3C01">
      <w:pPr>
        <w:pStyle w:val="25"/>
        <w:tabs>
          <w:tab w:val="right" w:leader="dot" w:pos="8296"/>
        </w:tabs>
        <w:rPr>
          <w:rFonts w:ascii="宋体" w:hAnsi="宋体"/>
          <w:smallCaps w:val="0"/>
          <w:sz w:val="28"/>
          <w:szCs w:val="28"/>
        </w:rPr>
      </w:pPr>
      <w:r>
        <w:fldChar w:fldCharType="begin"/>
      </w:r>
      <w:r>
        <w:instrText xml:space="preserve"> HYPERLINK \l "_Toc71894861" </w:instrText>
      </w:r>
      <w:r>
        <w:fldChar w:fldCharType="separate"/>
      </w:r>
      <w:r>
        <w:rPr>
          <w:rStyle w:val="40"/>
          <w:rFonts w:ascii="宋体" w:hAnsi="宋体"/>
          <w:color w:val="auto"/>
          <w:kern w:val="3"/>
          <w:sz w:val="28"/>
          <w:szCs w:val="28"/>
        </w:rPr>
        <w:t>1.1.6</w:t>
      </w:r>
      <w:r>
        <w:rPr>
          <w:rStyle w:val="40"/>
          <w:rFonts w:hint="eastAsia" w:ascii="宋体" w:hAnsi="宋体"/>
          <w:color w:val="auto"/>
          <w:kern w:val="3"/>
          <w:sz w:val="28"/>
          <w:szCs w:val="28"/>
        </w:rPr>
        <w:t>其它依据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_Toc71894861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4D8F5354">
      <w:pPr>
        <w:pStyle w:val="25"/>
        <w:tabs>
          <w:tab w:val="right" w:leader="dot" w:pos="8296"/>
        </w:tabs>
        <w:rPr>
          <w:rFonts w:ascii="宋体" w:hAnsi="宋体"/>
          <w:smallCaps w:val="0"/>
          <w:sz w:val="28"/>
          <w:szCs w:val="28"/>
        </w:rPr>
      </w:pPr>
      <w:r>
        <w:fldChar w:fldCharType="begin"/>
      </w:r>
      <w:r>
        <w:instrText xml:space="preserve"> HYPERLINK \l "_Toc71894862" </w:instrText>
      </w:r>
      <w:r>
        <w:fldChar w:fldCharType="separate"/>
      </w:r>
      <w:r>
        <w:rPr>
          <w:rStyle w:val="40"/>
          <w:rFonts w:ascii="宋体" w:hAnsi="宋体"/>
          <w:color w:val="auto"/>
          <w:kern w:val="3"/>
          <w:sz w:val="28"/>
          <w:szCs w:val="28"/>
        </w:rPr>
        <w:t>1.2</w:t>
      </w:r>
      <w:r>
        <w:rPr>
          <w:rStyle w:val="40"/>
          <w:rFonts w:hint="eastAsia" w:ascii="宋体" w:hAnsi="宋体"/>
          <w:color w:val="auto"/>
          <w:kern w:val="3"/>
          <w:sz w:val="28"/>
          <w:szCs w:val="28"/>
        </w:rPr>
        <w:t>安全评价的目的及范围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_Toc71894862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3CDF47EB">
      <w:pPr>
        <w:pStyle w:val="25"/>
        <w:tabs>
          <w:tab w:val="right" w:leader="dot" w:pos="8296"/>
        </w:tabs>
        <w:rPr>
          <w:rFonts w:ascii="宋体" w:hAnsi="宋体"/>
          <w:smallCaps w:val="0"/>
          <w:sz w:val="28"/>
          <w:szCs w:val="28"/>
        </w:rPr>
      </w:pPr>
      <w:r>
        <w:fldChar w:fldCharType="begin"/>
      </w:r>
      <w:r>
        <w:instrText xml:space="preserve"> HYPERLINK \l "_Toc71894863" </w:instrText>
      </w:r>
      <w:r>
        <w:fldChar w:fldCharType="separate"/>
      </w:r>
      <w:r>
        <w:rPr>
          <w:rStyle w:val="40"/>
          <w:rFonts w:ascii="宋体" w:hAnsi="宋体"/>
          <w:color w:val="auto"/>
          <w:kern w:val="3"/>
          <w:sz w:val="28"/>
          <w:szCs w:val="28"/>
        </w:rPr>
        <w:t>1.2.1</w:t>
      </w:r>
      <w:r>
        <w:rPr>
          <w:rStyle w:val="40"/>
          <w:rFonts w:hint="eastAsia" w:ascii="宋体" w:hAnsi="宋体"/>
          <w:color w:val="auto"/>
          <w:kern w:val="3"/>
          <w:sz w:val="28"/>
          <w:szCs w:val="28"/>
        </w:rPr>
        <w:t>安全评价目的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_Toc71894863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2D77FD50">
      <w:pPr>
        <w:pStyle w:val="25"/>
        <w:tabs>
          <w:tab w:val="right" w:leader="dot" w:pos="8296"/>
        </w:tabs>
        <w:rPr>
          <w:rFonts w:ascii="宋体" w:hAnsi="宋体"/>
          <w:smallCaps w:val="0"/>
          <w:sz w:val="28"/>
          <w:szCs w:val="28"/>
        </w:rPr>
      </w:pPr>
      <w:r>
        <w:fldChar w:fldCharType="begin"/>
      </w:r>
      <w:r>
        <w:instrText xml:space="preserve"> HYPERLINK \l "_Toc71894864" </w:instrText>
      </w:r>
      <w:r>
        <w:fldChar w:fldCharType="separate"/>
      </w:r>
      <w:r>
        <w:rPr>
          <w:rStyle w:val="40"/>
          <w:rFonts w:ascii="宋体" w:hAnsi="宋体"/>
          <w:color w:val="auto"/>
          <w:kern w:val="3"/>
          <w:sz w:val="28"/>
          <w:szCs w:val="28"/>
        </w:rPr>
        <w:t>1.2.2</w:t>
      </w:r>
      <w:r>
        <w:rPr>
          <w:rStyle w:val="40"/>
          <w:rFonts w:hint="eastAsia" w:ascii="宋体" w:hAnsi="宋体"/>
          <w:color w:val="auto"/>
          <w:kern w:val="3"/>
          <w:sz w:val="28"/>
          <w:szCs w:val="28"/>
        </w:rPr>
        <w:t>安全评价范围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_Toc71894864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5D47589D">
      <w:pPr>
        <w:pStyle w:val="25"/>
        <w:tabs>
          <w:tab w:val="right" w:leader="dot" w:pos="8296"/>
        </w:tabs>
        <w:rPr>
          <w:rFonts w:ascii="宋体" w:hAnsi="宋体"/>
          <w:smallCaps w:val="0"/>
          <w:sz w:val="28"/>
          <w:szCs w:val="28"/>
        </w:rPr>
      </w:pPr>
      <w:r>
        <w:fldChar w:fldCharType="begin"/>
      </w:r>
      <w:r>
        <w:instrText xml:space="preserve"> HYPERLINK \l "_Toc71894865" </w:instrText>
      </w:r>
      <w:r>
        <w:fldChar w:fldCharType="separate"/>
      </w:r>
      <w:r>
        <w:rPr>
          <w:rStyle w:val="40"/>
          <w:rFonts w:ascii="宋体" w:hAnsi="宋体"/>
          <w:color w:val="auto"/>
          <w:kern w:val="3"/>
          <w:sz w:val="28"/>
          <w:szCs w:val="28"/>
        </w:rPr>
        <w:t>1.3</w:t>
      </w:r>
      <w:r>
        <w:rPr>
          <w:rStyle w:val="40"/>
          <w:rFonts w:hint="eastAsia" w:ascii="宋体" w:hAnsi="宋体"/>
          <w:color w:val="auto"/>
          <w:kern w:val="3"/>
          <w:sz w:val="28"/>
          <w:szCs w:val="28"/>
        </w:rPr>
        <w:t>安全评价程序</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_Toc71894865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058B07B9">
      <w:pPr>
        <w:pStyle w:val="25"/>
        <w:tabs>
          <w:tab w:val="right" w:leader="dot" w:pos="8296"/>
        </w:tabs>
        <w:rPr>
          <w:rFonts w:ascii="宋体" w:hAnsi="宋体"/>
          <w:smallCaps w:val="0"/>
          <w:sz w:val="28"/>
          <w:szCs w:val="28"/>
        </w:rPr>
      </w:pPr>
      <w:r>
        <w:fldChar w:fldCharType="begin"/>
      </w:r>
      <w:r>
        <w:instrText xml:space="preserve"> HYPERLINK \l "_Toc71894866" </w:instrText>
      </w:r>
      <w:r>
        <w:fldChar w:fldCharType="separate"/>
      </w:r>
      <w:r>
        <w:rPr>
          <w:rStyle w:val="40"/>
          <w:rFonts w:ascii="宋体" w:hAnsi="宋体"/>
          <w:color w:val="auto"/>
          <w:kern w:val="3"/>
          <w:sz w:val="28"/>
          <w:szCs w:val="28"/>
        </w:rPr>
        <w:t>1.4</w:t>
      </w:r>
      <w:r>
        <w:rPr>
          <w:rStyle w:val="40"/>
          <w:rFonts w:hint="eastAsia" w:ascii="宋体" w:hAnsi="宋体"/>
          <w:color w:val="auto"/>
          <w:kern w:val="3"/>
          <w:sz w:val="28"/>
          <w:szCs w:val="28"/>
        </w:rPr>
        <w:t>评价基准日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_Toc71894866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14:paraId="38380C19">
      <w:pPr>
        <w:pStyle w:val="25"/>
        <w:tabs>
          <w:tab w:val="right" w:leader="dot" w:pos="8296"/>
        </w:tabs>
        <w:rPr>
          <w:rFonts w:ascii="宋体" w:hAnsi="宋体"/>
          <w:smallCaps w:val="0"/>
          <w:sz w:val="28"/>
          <w:szCs w:val="28"/>
        </w:rPr>
      </w:pPr>
      <w:r>
        <w:fldChar w:fldCharType="begin"/>
      </w:r>
      <w:r>
        <w:instrText xml:space="preserve"> HYPERLINK \l "_Toc71894867"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2</w:t>
      </w:r>
      <w:r>
        <w:rPr>
          <w:rStyle w:val="40"/>
          <w:rFonts w:hint="eastAsia" w:ascii="宋体" w:hAnsi="宋体"/>
          <w:color w:val="auto"/>
          <w:kern w:val="3"/>
          <w:sz w:val="28"/>
          <w:szCs w:val="28"/>
        </w:rPr>
        <w:t>章评价项目概况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_Toc71894867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1619C578">
      <w:pPr>
        <w:pStyle w:val="25"/>
        <w:tabs>
          <w:tab w:val="right" w:leader="dot" w:pos="8296"/>
        </w:tabs>
        <w:rPr>
          <w:rFonts w:ascii="宋体" w:hAnsi="宋体"/>
          <w:smallCaps w:val="0"/>
          <w:sz w:val="28"/>
          <w:szCs w:val="28"/>
        </w:rPr>
      </w:pPr>
      <w:r>
        <w:fldChar w:fldCharType="begin"/>
      </w:r>
      <w:r>
        <w:instrText xml:space="preserve"> HYPERLINK \l "_Toc71894868" </w:instrText>
      </w:r>
      <w:r>
        <w:fldChar w:fldCharType="separate"/>
      </w:r>
      <w:r>
        <w:rPr>
          <w:rStyle w:val="40"/>
          <w:rFonts w:ascii="宋体" w:hAnsi="宋体"/>
          <w:color w:val="auto"/>
          <w:kern w:val="3"/>
          <w:sz w:val="28"/>
          <w:szCs w:val="28"/>
        </w:rPr>
        <w:t xml:space="preserve">2.1 </w:t>
      </w:r>
      <w:r>
        <w:rPr>
          <w:rStyle w:val="40"/>
          <w:rFonts w:hint="eastAsia" w:ascii="宋体" w:hAnsi="宋体"/>
          <w:color w:val="auto"/>
          <w:kern w:val="3"/>
          <w:sz w:val="28"/>
          <w:szCs w:val="28"/>
        </w:rPr>
        <w:t>被评价单位基本情况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_Toc71894868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6B65A5DF">
      <w:pPr>
        <w:pStyle w:val="25"/>
        <w:tabs>
          <w:tab w:val="right" w:leader="dot" w:pos="8296"/>
        </w:tabs>
        <w:rPr>
          <w:rFonts w:ascii="宋体" w:hAnsi="宋体"/>
          <w:smallCaps w:val="0"/>
          <w:sz w:val="28"/>
          <w:szCs w:val="28"/>
        </w:rPr>
      </w:pPr>
      <w:r>
        <w:fldChar w:fldCharType="begin"/>
      </w:r>
      <w:r>
        <w:instrText xml:space="preserve"> HYPERLINK \l "_Toc71894869" </w:instrText>
      </w:r>
      <w:r>
        <w:fldChar w:fldCharType="separate"/>
      </w:r>
      <w:r>
        <w:rPr>
          <w:rStyle w:val="40"/>
          <w:rFonts w:ascii="宋体" w:hAnsi="宋体"/>
          <w:color w:val="auto"/>
          <w:kern w:val="3"/>
          <w:sz w:val="28"/>
          <w:szCs w:val="28"/>
        </w:rPr>
        <w:t xml:space="preserve">2.2  </w:t>
      </w:r>
      <w:r>
        <w:rPr>
          <w:rStyle w:val="40"/>
          <w:rFonts w:hint="eastAsia" w:ascii="宋体" w:hAnsi="宋体"/>
          <w:color w:val="auto"/>
          <w:kern w:val="3"/>
          <w:sz w:val="28"/>
          <w:szCs w:val="28"/>
        </w:rPr>
        <w:t>站址及周边环境情况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_Toc71894869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26F1FA78">
      <w:pPr>
        <w:pStyle w:val="25"/>
        <w:tabs>
          <w:tab w:val="right" w:leader="dot" w:pos="8296"/>
        </w:tabs>
        <w:rPr>
          <w:rFonts w:ascii="宋体" w:hAnsi="宋体"/>
          <w:smallCaps w:val="0"/>
          <w:sz w:val="28"/>
          <w:szCs w:val="28"/>
        </w:rPr>
      </w:pPr>
      <w:r>
        <w:fldChar w:fldCharType="begin"/>
      </w:r>
      <w:r>
        <w:instrText xml:space="preserve"> HYPERLINK \l "_Toc71894870" </w:instrText>
      </w:r>
      <w:r>
        <w:fldChar w:fldCharType="separate"/>
      </w:r>
      <w:r>
        <w:rPr>
          <w:rStyle w:val="40"/>
          <w:rFonts w:ascii="宋体" w:hAnsi="宋体"/>
          <w:color w:val="auto"/>
          <w:kern w:val="3"/>
          <w:sz w:val="28"/>
          <w:szCs w:val="28"/>
        </w:rPr>
        <w:t xml:space="preserve">2.2.1 </w:t>
      </w:r>
      <w:r>
        <w:rPr>
          <w:rStyle w:val="40"/>
          <w:rFonts w:hint="eastAsia" w:ascii="宋体" w:hAnsi="宋体"/>
          <w:color w:val="auto"/>
          <w:kern w:val="3"/>
          <w:sz w:val="28"/>
          <w:szCs w:val="28"/>
        </w:rPr>
        <w:t>交通地理位置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_Toc71894870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57D49EC2">
      <w:pPr>
        <w:pStyle w:val="25"/>
        <w:tabs>
          <w:tab w:val="right" w:leader="dot" w:pos="8296"/>
        </w:tabs>
        <w:rPr>
          <w:rFonts w:ascii="宋体" w:hAnsi="宋体"/>
          <w:smallCaps w:val="0"/>
          <w:sz w:val="28"/>
          <w:szCs w:val="28"/>
        </w:rPr>
      </w:pPr>
      <w:r>
        <w:fldChar w:fldCharType="begin"/>
      </w:r>
      <w:r>
        <w:instrText xml:space="preserve"> HYPERLINK \l "_Toc71894871" </w:instrText>
      </w:r>
      <w:r>
        <w:fldChar w:fldCharType="separate"/>
      </w:r>
      <w:r>
        <w:rPr>
          <w:rStyle w:val="40"/>
          <w:rFonts w:ascii="宋体" w:hAnsi="宋体"/>
          <w:color w:val="auto"/>
          <w:kern w:val="3"/>
          <w:sz w:val="28"/>
          <w:szCs w:val="28"/>
        </w:rPr>
        <w:t xml:space="preserve">2.2.2 </w:t>
      </w:r>
      <w:r>
        <w:rPr>
          <w:rStyle w:val="40"/>
          <w:rFonts w:hint="eastAsia" w:ascii="宋体" w:hAnsi="宋体"/>
          <w:color w:val="auto"/>
          <w:kern w:val="3"/>
          <w:sz w:val="28"/>
          <w:szCs w:val="28"/>
        </w:rPr>
        <w:t>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_Toc71894871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1684F953">
      <w:pPr>
        <w:pStyle w:val="25"/>
        <w:tabs>
          <w:tab w:val="right" w:leader="dot" w:pos="8296"/>
        </w:tabs>
        <w:rPr>
          <w:rFonts w:ascii="宋体" w:hAnsi="宋体"/>
          <w:smallCaps w:val="0"/>
          <w:sz w:val="28"/>
          <w:szCs w:val="28"/>
        </w:rPr>
      </w:pPr>
      <w:r>
        <w:fldChar w:fldCharType="begin"/>
      </w:r>
      <w:r>
        <w:instrText xml:space="preserve"> HYPERLINK \l "_Toc71894872" </w:instrText>
      </w:r>
      <w:r>
        <w:fldChar w:fldCharType="separate"/>
      </w:r>
      <w:r>
        <w:rPr>
          <w:rStyle w:val="40"/>
          <w:rFonts w:ascii="宋体" w:hAnsi="宋体"/>
          <w:color w:val="auto"/>
          <w:kern w:val="3"/>
          <w:sz w:val="28"/>
          <w:szCs w:val="28"/>
        </w:rPr>
        <w:t>2.3</w:t>
      </w:r>
      <w:r>
        <w:rPr>
          <w:rStyle w:val="40"/>
          <w:rFonts w:hint="eastAsia" w:ascii="宋体" w:hAnsi="宋体"/>
          <w:color w:val="auto"/>
          <w:kern w:val="3"/>
          <w:sz w:val="28"/>
          <w:szCs w:val="28"/>
        </w:rPr>
        <w:t>自然条件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_Toc71894872 \h </w:instrText>
      </w:r>
      <w:r>
        <w:rPr>
          <w:rFonts w:ascii="宋体" w:hAnsi="宋体"/>
          <w:sz w:val="28"/>
          <w:szCs w:val="28"/>
        </w:rPr>
        <w:fldChar w:fldCharType="separate"/>
      </w:r>
      <w:r>
        <w:rPr>
          <w:rFonts w:ascii="宋体" w:hAnsi="宋体"/>
          <w:sz w:val="28"/>
          <w:szCs w:val="28"/>
        </w:rPr>
        <w:t>14</w:t>
      </w:r>
      <w:r>
        <w:rPr>
          <w:rFonts w:ascii="宋体" w:hAnsi="宋体"/>
          <w:sz w:val="28"/>
          <w:szCs w:val="28"/>
        </w:rPr>
        <w:fldChar w:fldCharType="end"/>
      </w:r>
      <w:r>
        <w:rPr>
          <w:rFonts w:ascii="宋体" w:hAnsi="宋体"/>
          <w:sz w:val="28"/>
          <w:szCs w:val="28"/>
        </w:rPr>
        <w:fldChar w:fldCharType="end"/>
      </w:r>
    </w:p>
    <w:p w14:paraId="12724AEF">
      <w:pPr>
        <w:pStyle w:val="25"/>
        <w:tabs>
          <w:tab w:val="right" w:leader="dot" w:pos="8296"/>
        </w:tabs>
        <w:rPr>
          <w:rFonts w:ascii="宋体" w:hAnsi="宋体"/>
          <w:smallCaps w:val="0"/>
          <w:sz w:val="28"/>
          <w:szCs w:val="28"/>
        </w:rPr>
      </w:pPr>
      <w:r>
        <w:fldChar w:fldCharType="begin"/>
      </w:r>
      <w:r>
        <w:instrText xml:space="preserve"> HYPERLINK \l "_Toc71894873" </w:instrText>
      </w:r>
      <w:r>
        <w:fldChar w:fldCharType="separate"/>
      </w:r>
      <w:r>
        <w:rPr>
          <w:rStyle w:val="40"/>
          <w:rFonts w:ascii="宋体" w:hAnsi="宋体"/>
          <w:color w:val="auto"/>
          <w:kern w:val="3"/>
          <w:sz w:val="28"/>
          <w:szCs w:val="28"/>
        </w:rPr>
        <w:t>2.4</w:t>
      </w:r>
      <w:r>
        <w:rPr>
          <w:rStyle w:val="40"/>
          <w:rFonts w:hint="eastAsia" w:ascii="宋体" w:hAnsi="宋体"/>
          <w:color w:val="auto"/>
          <w:kern w:val="3"/>
          <w:sz w:val="28"/>
          <w:szCs w:val="28"/>
        </w:rPr>
        <w:t>地形、地貌、地质条件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_Toc71894873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08F0126A">
      <w:pPr>
        <w:pStyle w:val="25"/>
        <w:tabs>
          <w:tab w:val="right" w:leader="dot" w:pos="8296"/>
        </w:tabs>
        <w:rPr>
          <w:rFonts w:ascii="宋体" w:hAnsi="宋体"/>
          <w:smallCaps w:val="0"/>
          <w:sz w:val="28"/>
          <w:szCs w:val="28"/>
        </w:rPr>
      </w:pPr>
      <w:r>
        <w:fldChar w:fldCharType="begin"/>
      </w:r>
      <w:r>
        <w:instrText xml:space="preserve"> HYPERLINK \l "_Toc71894874" </w:instrText>
      </w:r>
      <w:r>
        <w:fldChar w:fldCharType="separate"/>
      </w:r>
      <w:r>
        <w:rPr>
          <w:rStyle w:val="40"/>
          <w:rFonts w:ascii="宋体" w:hAnsi="宋体"/>
          <w:color w:val="auto"/>
          <w:kern w:val="3"/>
          <w:sz w:val="28"/>
          <w:szCs w:val="28"/>
        </w:rPr>
        <w:t xml:space="preserve">2.5 </w:t>
      </w:r>
      <w:r>
        <w:rPr>
          <w:rStyle w:val="40"/>
          <w:rFonts w:hint="eastAsia" w:ascii="宋体" w:hAnsi="宋体"/>
          <w:color w:val="auto"/>
          <w:kern w:val="3"/>
          <w:sz w:val="28"/>
          <w:szCs w:val="28"/>
        </w:rPr>
        <w:t>加油站总平面布置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_Toc71894874 \h </w:instrText>
      </w:r>
      <w:r>
        <w:rPr>
          <w:rFonts w:ascii="宋体" w:hAnsi="宋体"/>
          <w:sz w:val="28"/>
          <w:szCs w:val="28"/>
        </w:rPr>
        <w:fldChar w:fldCharType="separate"/>
      </w:r>
      <w:r>
        <w:rPr>
          <w:rFonts w:ascii="宋体" w:hAnsi="宋体"/>
          <w:sz w:val="28"/>
          <w:szCs w:val="28"/>
        </w:rPr>
        <w:t>16</w:t>
      </w:r>
      <w:r>
        <w:rPr>
          <w:rFonts w:ascii="宋体" w:hAnsi="宋体"/>
          <w:sz w:val="28"/>
          <w:szCs w:val="28"/>
        </w:rPr>
        <w:fldChar w:fldCharType="end"/>
      </w:r>
      <w:r>
        <w:rPr>
          <w:rFonts w:ascii="宋体" w:hAnsi="宋体"/>
          <w:sz w:val="28"/>
          <w:szCs w:val="28"/>
        </w:rPr>
        <w:fldChar w:fldCharType="end"/>
      </w:r>
    </w:p>
    <w:p w14:paraId="03BAFB17">
      <w:pPr>
        <w:pStyle w:val="25"/>
        <w:tabs>
          <w:tab w:val="right" w:leader="dot" w:pos="8296"/>
        </w:tabs>
        <w:rPr>
          <w:rFonts w:ascii="宋体" w:hAnsi="宋体"/>
          <w:smallCaps w:val="0"/>
          <w:sz w:val="28"/>
          <w:szCs w:val="28"/>
        </w:rPr>
      </w:pPr>
      <w:r>
        <w:fldChar w:fldCharType="begin"/>
      </w:r>
      <w:r>
        <w:instrText xml:space="preserve"> HYPERLINK \l "_Toc71894875" </w:instrText>
      </w:r>
      <w:r>
        <w:fldChar w:fldCharType="separate"/>
      </w:r>
      <w:r>
        <w:rPr>
          <w:rStyle w:val="40"/>
          <w:rFonts w:ascii="宋体" w:hAnsi="宋体"/>
          <w:color w:val="auto"/>
          <w:kern w:val="3"/>
          <w:sz w:val="28"/>
          <w:szCs w:val="28"/>
        </w:rPr>
        <w:t>2.6</w:t>
      </w:r>
      <w:r>
        <w:rPr>
          <w:rStyle w:val="40"/>
          <w:rFonts w:hint="eastAsia" w:ascii="宋体" w:hAnsi="宋体"/>
          <w:color w:val="auto"/>
          <w:kern w:val="3"/>
          <w:sz w:val="28"/>
          <w:szCs w:val="28"/>
        </w:rPr>
        <w:t>主要技术、工艺（方式）简述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_Toc71894875 \h </w:instrText>
      </w:r>
      <w:r>
        <w:rPr>
          <w:rFonts w:ascii="宋体" w:hAnsi="宋体"/>
          <w:sz w:val="28"/>
          <w:szCs w:val="28"/>
        </w:rPr>
        <w:fldChar w:fldCharType="separate"/>
      </w:r>
      <w:r>
        <w:rPr>
          <w:rFonts w:ascii="宋体" w:hAnsi="宋体"/>
          <w:sz w:val="28"/>
          <w:szCs w:val="28"/>
        </w:rPr>
        <w:t>16</w:t>
      </w:r>
      <w:r>
        <w:rPr>
          <w:rFonts w:ascii="宋体" w:hAnsi="宋体"/>
          <w:sz w:val="28"/>
          <w:szCs w:val="28"/>
        </w:rPr>
        <w:fldChar w:fldCharType="end"/>
      </w:r>
      <w:r>
        <w:rPr>
          <w:rFonts w:ascii="宋体" w:hAnsi="宋体"/>
          <w:sz w:val="28"/>
          <w:szCs w:val="28"/>
        </w:rPr>
        <w:fldChar w:fldCharType="end"/>
      </w:r>
    </w:p>
    <w:p w14:paraId="11A73D06">
      <w:pPr>
        <w:pStyle w:val="25"/>
        <w:tabs>
          <w:tab w:val="right" w:leader="dot" w:pos="8296"/>
        </w:tabs>
        <w:rPr>
          <w:rFonts w:ascii="宋体" w:hAnsi="宋体"/>
          <w:smallCaps w:val="0"/>
          <w:sz w:val="28"/>
          <w:szCs w:val="28"/>
        </w:rPr>
      </w:pPr>
      <w:r>
        <w:fldChar w:fldCharType="begin"/>
      </w:r>
      <w:r>
        <w:instrText xml:space="preserve"> HYPERLINK \l "_Toc71894876" </w:instrText>
      </w:r>
      <w:r>
        <w:fldChar w:fldCharType="separate"/>
      </w:r>
      <w:r>
        <w:rPr>
          <w:rStyle w:val="40"/>
          <w:rFonts w:ascii="宋体" w:hAnsi="宋体"/>
          <w:color w:val="auto"/>
          <w:kern w:val="3"/>
          <w:sz w:val="28"/>
          <w:szCs w:val="28"/>
        </w:rPr>
        <w:t>2.6.1</w:t>
      </w:r>
      <w:r>
        <w:rPr>
          <w:rStyle w:val="40"/>
          <w:rFonts w:hint="eastAsia" w:ascii="宋体" w:hAnsi="宋体"/>
          <w:color w:val="auto"/>
          <w:kern w:val="3"/>
          <w:sz w:val="28"/>
          <w:szCs w:val="28"/>
        </w:rPr>
        <w:t>加油工艺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_Toc71894876 \h </w:instrText>
      </w:r>
      <w:r>
        <w:rPr>
          <w:rFonts w:ascii="宋体" w:hAnsi="宋体"/>
          <w:sz w:val="28"/>
          <w:szCs w:val="28"/>
        </w:rPr>
        <w:fldChar w:fldCharType="separate"/>
      </w:r>
      <w:r>
        <w:rPr>
          <w:rFonts w:ascii="宋体" w:hAnsi="宋体"/>
          <w:sz w:val="28"/>
          <w:szCs w:val="28"/>
        </w:rPr>
        <w:t>19</w:t>
      </w:r>
      <w:r>
        <w:rPr>
          <w:rFonts w:ascii="宋体" w:hAnsi="宋体"/>
          <w:sz w:val="28"/>
          <w:szCs w:val="28"/>
        </w:rPr>
        <w:fldChar w:fldCharType="end"/>
      </w:r>
      <w:r>
        <w:rPr>
          <w:rFonts w:ascii="宋体" w:hAnsi="宋体"/>
          <w:sz w:val="28"/>
          <w:szCs w:val="28"/>
        </w:rPr>
        <w:fldChar w:fldCharType="end"/>
      </w:r>
    </w:p>
    <w:p w14:paraId="3C922588">
      <w:pPr>
        <w:pStyle w:val="25"/>
        <w:tabs>
          <w:tab w:val="right" w:leader="dot" w:pos="8296"/>
        </w:tabs>
        <w:rPr>
          <w:rFonts w:ascii="宋体" w:hAnsi="宋体"/>
          <w:smallCaps w:val="0"/>
          <w:sz w:val="28"/>
          <w:szCs w:val="28"/>
        </w:rPr>
      </w:pPr>
      <w:r>
        <w:fldChar w:fldCharType="begin"/>
      </w:r>
      <w:r>
        <w:instrText xml:space="preserve"> HYPERLINK \l "_Toc71894877" </w:instrText>
      </w:r>
      <w:r>
        <w:fldChar w:fldCharType="separate"/>
      </w:r>
      <w:r>
        <w:rPr>
          <w:rStyle w:val="40"/>
          <w:rFonts w:ascii="宋体" w:hAnsi="宋体"/>
          <w:color w:val="auto"/>
          <w:kern w:val="3"/>
          <w:sz w:val="28"/>
          <w:szCs w:val="28"/>
        </w:rPr>
        <w:t>2.6.2</w:t>
      </w:r>
      <w:r>
        <w:rPr>
          <w:rStyle w:val="40"/>
          <w:rFonts w:hint="eastAsia" w:ascii="宋体" w:hAnsi="宋体"/>
          <w:color w:val="auto"/>
          <w:kern w:val="3"/>
          <w:sz w:val="28"/>
          <w:szCs w:val="28"/>
        </w:rPr>
        <w:t>卸油工艺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_Toc71894877 \h </w:instrText>
      </w:r>
      <w:r>
        <w:rPr>
          <w:rFonts w:ascii="宋体" w:hAnsi="宋体"/>
          <w:sz w:val="28"/>
          <w:szCs w:val="28"/>
        </w:rPr>
        <w:fldChar w:fldCharType="separate"/>
      </w:r>
      <w:r>
        <w:rPr>
          <w:rFonts w:ascii="宋体" w:hAnsi="宋体"/>
          <w:sz w:val="28"/>
          <w:szCs w:val="28"/>
        </w:rPr>
        <w:t>19</w:t>
      </w:r>
      <w:r>
        <w:rPr>
          <w:rFonts w:ascii="宋体" w:hAnsi="宋体"/>
          <w:sz w:val="28"/>
          <w:szCs w:val="28"/>
        </w:rPr>
        <w:fldChar w:fldCharType="end"/>
      </w:r>
      <w:r>
        <w:rPr>
          <w:rFonts w:ascii="宋体" w:hAnsi="宋体"/>
          <w:sz w:val="28"/>
          <w:szCs w:val="28"/>
        </w:rPr>
        <w:fldChar w:fldCharType="end"/>
      </w:r>
    </w:p>
    <w:p w14:paraId="4D19401E">
      <w:pPr>
        <w:pStyle w:val="25"/>
        <w:tabs>
          <w:tab w:val="right" w:leader="dot" w:pos="8296"/>
        </w:tabs>
        <w:rPr>
          <w:rFonts w:ascii="宋体" w:hAnsi="宋体"/>
          <w:smallCaps w:val="0"/>
          <w:sz w:val="28"/>
          <w:szCs w:val="28"/>
        </w:rPr>
      </w:pPr>
      <w:r>
        <w:fldChar w:fldCharType="begin"/>
      </w:r>
      <w:r>
        <w:instrText xml:space="preserve"> HYPERLINK \l "_Toc71894878" </w:instrText>
      </w:r>
      <w:r>
        <w:fldChar w:fldCharType="separate"/>
      </w:r>
      <w:r>
        <w:rPr>
          <w:rStyle w:val="40"/>
          <w:rFonts w:ascii="宋体" w:hAnsi="宋体"/>
          <w:color w:val="auto"/>
          <w:kern w:val="3"/>
          <w:sz w:val="28"/>
          <w:szCs w:val="28"/>
        </w:rPr>
        <w:t>2.7</w:t>
      </w:r>
      <w:r>
        <w:rPr>
          <w:rStyle w:val="40"/>
          <w:rFonts w:hint="eastAsia" w:ascii="宋体" w:hAnsi="宋体"/>
          <w:color w:val="auto"/>
          <w:kern w:val="3"/>
          <w:sz w:val="28"/>
          <w:szCs w:val="28"/>
        </w:rPr>
        <w:t>配套和辅助工程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_Toc71894878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05AEFF5B">
      <w:pPr>
        <w:pStyle w:val="25"/>
        <w:tabs>
          <w:tab w:val="right" w:leader="dot" w:pos="8296"/>
        </w:tabs>
        <w:rPr>
          <w:rFonts w:ascii="宋体" w:hAnsi="宋体"/>
          <w:smallCaps w:val="0"/>
          <w:sz w:val="28"/>
          <w:szCs w:val="28"/>
        </w:rPr>
      </w:pPr>
      <w:r>
        <w:fldChar w:fldCharType="begin"/>
      </w:r>
      <w:r>
        <w:instrText xml:space="preserve"> HYPERLINK \l "_Toc71894879" </w:instrText>
      </w:r>
      <w:r>
        <w:fldChar w:fldCharType="separate"/>
      </w:r>
      <w:r>
        <w:rPr>
          <w:rStyle w:val="40"/>
          <w:rFonts w:ascii="宋体" w:hAnsi="宋体"/>
          <w:color w:val="auto"/>
          <w:kern w:val="3"/>
          <w:sz w:val="28"/>
          <w:szCs w:val="28"/>
        </w:rPr>
        <w:t>2.7.1</w:t>
      </w:r>
      <w:r>
        <w:rPr>
          <w:rStyle w:val="40"/>
          <w:rFonts w:hint="eastAsia" w:ascii="宋体" w:hAnsi="宋体"/>
          <w:color w:val="auto"/>
          <w:kern w:val="3"/>
          <w:sz w:val="28"/>
          <w:szCs w:val="28"/>
        </w:rPr>
        <w:t>供配电系统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_Toc71894879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37177956">
      <w:pPr>
        <w:pStyle w:val="25"/>
        <w:tabs>
          <w:tab w:val="right" w:leader="dot" w:pos="8296"/>
        </w:tabs>
        <w:rPr>
          <w:rFonts w:ascii="宋体" w:hAnsi="宋体"/>
          <w:smallCaps w:val="0"/>
          <w:sz w:val="28"/>
          <w:szCs w:val="28"/>
        </w:rPr>
      </w:pPr>
      <w:r>
        <w:fldChar w:fldCharType="begin"/>
      </w:r>
      <w:r>
        <w:instrText xml:space="preserve"> HYPERLINK \l "_Toc71894880" </w:instrText>
      </w:r>
      <w:r>
        <w:fldChar w:fldCharType="separate"/>
      </w:r>
      <w:r>
        <w:rPr>
          <w:rStyle w:val="40"/>
          <w:rFonts w:ascii="宋体" w:hAnsi="宋体"/>
          <w:color w:val="auto"/>
          <w:kern w:val="3"/>
          <w:sz w:val="28"/>
          <w:szCs w:val="28"/>
        </w:rPr>
        <w:t>2.7.2</w:t>
      </w:r>
      <w:r>
        <w:rPr>
          <w:rStyle w:val="40"/>
          <w:rFonts w:hint="eastAsia" w:ascii="宋体" w:hAnsi="宋体"/>
          <w:color w:val="auto"/>
          <w:kern w:val="3"/>
          <w:sz w:val="28"/>
          <w:szCs w:val="28"/>
        </w:rPr>
        <w:t>给排水系统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_Toc71894880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2BE613B4">
      <w:pPr>
        <w:pStyle w:val="25"/>
        <w:tabs>
          <w:tab w:val="right" w:leader="dot" w:pos="8296"/>
        </w:tabs>
        <w:rPr>
          <w:rFonts w:ascii="宋体" w:hAnsi="宋体"/>
          <w:smallCaps w:val="0"/>
          <w:sz w:val="28"/>
          <w:szCs w:val="28"/>
        </w:rPr>
      </w:pPr>
      <w:r>
        <w:fldChar w:fldCharType="begin"/>
      </w:r>
      <w:r>
        <w:instrText xml:space="preserve"> HYPERLINK \l "_Toc71894881" </w:instrText>
      </w:r>
      <w:r>
        <w:fldChar w:fldCharType="separate"/>
      </w:r>
      <w:r>
        <w:rPr>
          <w:rStyle w:val="40"/>
          <w:rFonts w:ascii="宋体" w:hAnsi="宋体"/>
          <w:color w:val="auto"/>
          <w:kern w:val="3"/>
          <w:sz w:val="28"/>
          <w:szCs w:val="28"/>
        </w:rPr>
        <w:t>2.7.3</w:t>
      </w:r>
      <w:r>
        <w:rPr>
          <w:rStyle w:val="40"/>
          <w:rFonts w:hint="eastAsia" w:ascii="宋体" w:hAnsi="宋体"/>
          <w:color w:val="auto"/>
          <w:kern w:val="3"/>
          <w:sz w:val="28"/>
          <w:szCs w:val="28"/>
        </w:rPr>
        <w:t>防雷防静电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_Toc71894881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5955A026">
      <w:pPr>
        <w:pStyle w:val="25"/>
        <w:tabs>
          <w:tab w:val="right" w:leader="dot" w:pos="8296"/>
        </w:tabs>
        <w:rPr>
          <w:rFonts w:ascii="宋体" w:hAnsi="宋体"/>
          <w:smallCaps w:val="0"/>
          <w:sz w:val="28"/>
          <w:szCs w:val="28"/>
        </w:rPr>
      </w:pPr>
      <w:r>
        <w:fldChar w:fldCharType="begin"/>
      </w:r>
      <w:r>
        <w:instrText xml:space="preserve"> HYPERLINK \l "_Toc71894882" </w:instrText>
      </w:r>
      <w:r>
        <w:fldChar w:fldCharType="separate"/>
      </w:r>
      <w:r>
        <w:rPr>
          <w:rStyle w:val="40"/>
          <w:rFonts w:ascii="宋体" w:hAnsi="宋体"/>
          <w:color w:val="auto"/>
          <w:kern w:val="3"/>
          <w:sz w:val="28"/>
          <w:szCs w:val="28"/>
        </w:rPr>
        <w:t>2.8</w:t>
      </w:r>
      <w:r>
        <w:rPr>
          <w:rStyle w:val="40"/>
          <w:rFonts w:hint="eastAsia" w:ascii="宋体" w:hAnsi="宋体"/>
          <w:color w:val="auto"/>
          <w:kern w:val="3"/>
          <w:sz w:val="28"/>
          <w:szCs w:val="28"/>
        </w:rPr>
        <w:t>主要设备、设施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_Toc71894882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1902538E">
      <w:pPr>
        <w:pStyle w:val="25"/>
        <w:tabs>
          <w:tab w:val="right" w:leader="dot" w:pos="8296"/>
        </w:tabs>
        <w:rPr>
          <w:rFonts w:ascii="宋体" w:hAnsi="宋体"/>
          <w:smallCaps w:val="0"/>
          <w:sz w:val="28"/>
          <w:szCs w:val="28"/>
        </w:rPr>
      </w:pPr>
      <w:r>
        <w:fldChar w:fldCharType="begin"/>
      </w:r>
      <w:r>
        <w:instrText xml:space="preserve"> HYPERLINK \l "_Toc71894883" </w:instrText>
      </w:r>
      <w:r>
        <w:fldChar w:fldCharType="separate"/>
      </w:r>
      <w:r>
        <w:rPr>
          <w:rStyle w:val="40"/>
          <w:rFonts w:ascii="宋体" w:hAnsi="宋体"/>
          <w:color w:val="auto"/>
          <w:kern w:val="3"/>
          <w:sz w:val="28"/>
          <w:szCs w:val="28"/>
        </w:rPr>
        <w:t>2.9</w:t>
      </w:r>
      <w:r>
        <w:rPr>
          <w:rStyle w:val="40"/>
          <w:rFonts w:hint="eastAsia" w:ascii="宋体" w:hAnsi="宋体"/>
          <w:color w:val="auto"/>
          <w:kern w:val="3"/>
          <w:sz w:val="28"/>
          <w:szCs w:val="28"/>
        </w:rPr>
        <w:t>加油站安全装置及措施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_Toc71894883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369F1D42">
      <w:pPr>
        <w:pStyle w:val="25"/>
        <w:tabs>
          <w:tab w:val="right" w:leader="dot" w:pos="8296"/>
        </w:tabs>
        <w:rPr>
          <w:rFonts w:ascii="宋体" w:hAnsi="宋体"/>
          <w:smallCaps w:val="0"/>
          <w:sz w:val="28"/>
          <w:szCs w:val="28"/>
        </w:rPr>
      </w:pPr>
      <w:r>
        <w:fldChar w:fldCharType="begin"/>
      </w:r>
      <w:r>
        <w:instrText xml:space="preserve"> HYPERLINK \l "_Toc71894884" </w:instrText>
      </w:r>
      <w:r>
        <w:fldChar w:fldCharType="separate"/>
      </w:r>
      <w:r>
        <w:rPr>
          <w:rStyle w:val="40"/>
          <w:rFonts w:ascii="宋体" w:hAnsi="宋体"/>
          <w:color w:val="auto"/>
          <w:kern w:val="3"/>
          <w:sz w:val="28"/>
          <w:szCs w:val="28"/>
        </w:rPr>
        <w:t>2.9.1</w:t>
      </w:r>
      <w:r>
        <w:rPr>
          <w:rStyle w:val="40"/>
          <w:rFonts w:hint="eastAsia" w:ascii="宋体" w:hAnsi="宋体"/>
          <w:color w:val="auto"/>
          <w:kern w:val="3"/>
          <w:sz w:val="28"/>
          <w:szCs w:val="28"/>
        </w:rPr>
        <w:t>油罐及卸油区安全设施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_Toc71894884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2C32750D">
      <w:pPr>
        <w:pStyle w:val="25"/>
        <w:tabs>
          <w:tab w:val="right" w:leader="dot" w:pos="8296"/>
        </w:tabs>
        <w:rPr>
          <w:rFonts w:ascii="宋体" w:hAnsi="宋体"/>
          <w:smallCaps w:val="0"/>
          <w:sz w:val="28"/>
          <w:szCs w:val="28"/>
        </w:rPr>
      </w:pPr>
      <w:r>
        <w:fldChar w:fldCharType="begin"/>
      </w:r>
      <w:r>
        <w:instrText xml:space="preserve"> HYPERLINK \l "_Toc71894885" </w:instrText>
      </w:r>
      <w:r>
        <w:fldChar w:fldCharType="separate"/>
      </w:r>
      <w:r>
        <w:rPr>
          <w:rStyle w:val="40"/>
          <w:rFonts w:ascii="宋体" w:hAnsi="宋体"/>
          <w:color w:val="auto"/>
          <w:kern w:val="3"/>
          <w:sz w:val="28"/>
          <w:szCs w:val="28"/>
        </w:rPr>
        <w:t>2.9.2</w:t>
      </w:r>
      <w:r>
        <w:rPr>
          <w:rStyle w:val="40"/>
          <w:rFonts w:hint="eastAsia" w:ascii="宋体" w:hAnsi="宋体"/>
          <w:color w:val="auto"/>
          <w:kern w:val="3"/>
          <w:sz w:val="28"/>
          <w:szCs w:val="28"/>
        </w:rPr>
        <w:t>加油区安全设施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_Toc71894885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1F67B501">
      <w:pPr>
        <w:pStyle w:val="25"/>
        <w:tabs>
          <w:tab w:val="right" w:leader="dot" w:pos="8296"/>
        </w:tabs>
        <w:rPr>
          <w:rFonts w:ascii="宋体" w:hAnsi="宋体"/>
          <w:smallCaps w:val="0"/>
          <w:sz w:val="28"/>
          <w:szCs w:val="28"/>
        </w:rPr>
      </w:pPr>
      <w:r>
        <w:fldChar w:fldCharType="begin"/>
      </w:r>
      <w:r>
        <w:instrText xml:space="preserve"> HYPERLINK \l "_Toc71894886" </w:instrText>
      </w:r>
      <w:r>
        <w:fldChar w:fldCharType="separate"/>
      </w:r>
      <w:r>
        <w:rPr>
          <w:rStyle w:val="40"/>
          <w:rFonts w:ascii="宋体" w:hAnsi="宋体"/>
          <w:color w:val="auto"/>
          <w:kern w:val="3"/>
          <w:sz w:val="28"/>
          <w:szCs w:val="28"/>
        </w:rPr>
        <w:t>2.9.3</w:t>
      </w:r>
      <w:r>
        <w:rPr>
          <w:rStyle w:val="40"/>
          <w:rFonts w:hint="eastAsia" w:ascii="宋体" w:hAnsi="宋体"/>
          <w:color w:val="auto"/>
          <w:kern w:val="3"/>
          <w:sz w:val="28"/>
          <w:szCs w:val="28"/>
        </w:rPr>
        <w:t>消防设施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_Toc71894886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163DCBEF">
      <w:pPr>
        <w:pStyle w:val="25"/>
        <w:tabs>
          <w:tab w:val="right" w:leader="dot" w:pos="8296"/>
        </w:tabs>
        <w:rPr>
          <w:rFonts w:ascii="宋体" w:hAnsi="宋体"/>
          <w:smallCaps w:val="0"/>
          <w:sz w:val="28"/>
          <w:szCs w:val="28"/>
        </w:rPr>
      </w:pPr>
      <w:r>
        <w:fldChar w:fldCharType="begin"/>
      </w:r>
      <w:r>
        <w:instrText xml:space="preserve"> HYPERLINK \l "_Toc71894887" </w:instrText>
      </w:r>
      <w:r>
        <w:fldChar w:fldCharType="separate"/>
      </w:r>
      <w:r>
        <w:rPr>
          <w:rStyle w:val="40"/>
          <w:rFonts w:ascii="宋体" w:hAnsi="宋体"/>
          <w:color w:val="auto"/>
          <w:kern w:val="3"/>
          <w:sz w:val="28"/>
          <w:szCs w:val="28"/>
        </w:rPr>
        <w:t>2.9.4</w:t>
      </w:r>
      <w:r>
        <w:rPr>
          <w:rStyle w:val="40"/>
          <w:rFonts w:hint="eastAsia" w:ascii="宋体" w:hAnsi="宋体"/>
          <w:color w:val="auto"/>
          <w:kern w:val="3"/>
          <w:sz w:val="28"/>
          <w:szCs w:val="28"/>
        </w:rPr>
        <w:t>防雷防静电设施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_Toc71894887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52A35788">
      <w:pPr>
        <w:pStyle w:val="25"/>
        <w:tabs>
          <w:tab w:val="right" w:leader="dot" w:pos="8296"/>
        </w:tabs>
        <w:rPr>
          <w:rFonts w:ascii="宋体" w:hAnsi="宋体"/>
          <w:smallCaps w:val="0"/>
          <w:sz w:val="28"/>
          <w:szCs w:val="28"/>
        </w:rPr>
      </w:pPr>
      <w:r>
        <w:fldChar w:fldCharType="begin"/>
      </w:r>
      <w:r>
        <w:instrText xml:space="preserve"> HYPERLINK \l "_Toc71894888" </w:instrText>
      </w:r>
      <w:r>
        <w:fldChar w:fldCharType="separate"/>
      </w:r>
      <w:r>
        <w:rPr>
          <w:rStyle w:val="40"/>
          <w:rFonts w:ascii="宋体" w:hAnsi="宋体"/>
          <w:color w:val="auto"/>
          <w:kern w:val="3"/>
          <w:sz w:val="28"/>
          <w:szCs w:val="28"/>
        </w:rPr>
        <w:t>2.9.5</w:t>
      </w:r>
      <w:r>
        <w:rPr>
          <w:rStyle w:val="40"/>
          <w:rFonts w:hint="eastAsia" w:ascii="宋体" w:hAnsi="宋体"/>
          <w:color w:val="auto"/>
          <w:kern w:val="3"/>
          <w:sz w:val="28"/>
          <w:szCs w:val="28"/>
        </w:rPr>
        <w:t>视频监控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_Toc71894888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234BD198">
      <w:pPr>
        <w:pStyle w:val="25"/>
        <w:tabs>
          <w:tab w:val="right" w:leader="dot" w:pos="8296"/>
        </w:tabs>
        <w:rPr>
          <w:rFonts w:ascii="宋体" w:hAnsi="宋体"/>
          <w:smallCaps w:val="0"/>
          <w:sz w:val="28"/>
          <w:szCs w:val="28"/>
        </w:rPr>
      </w:pPr>
      <w:r>
        <w:fldChar w:fldCharType="begin"/>
      </w:r>
      <w:r>
        <w:instrText xml:space="preserve"> HYPERLINK \l "_Toc71894889" </w:instrText>
      </w:r>
      <w:r>
        <w:fldChar w:fldCharType="separate"/>
      </w:r>
      <w:r>
        <w:rPr>
          <w:rStyle w:val="40"/>
          <w:rFonts w:ascii="宋体" w:hAnsi="宋体"/>
          <w:color w:val="auto"/>
          <w:kern w:val="3"/>
          <w:sz w:val="28"/>
          <w:szCs w:val="28"/>
        </w:rPr>
        <w:t>2.9.6</w:t>
      </w:r>
      <w:r>
        <w:rPr>
          <w:rStyle w:val="40"/>
          <w:rFonts w:hint="eastAsia" w:ascii="宋体" w:hAnsi="宋体"/>
          <w:color w:val="auto"/>
          <w:kern w:val="3"/>
          <w:sz w:val="28"/>
          <w:szCs w:val="28"/>
        </w:rPr>
        <w:t>公辅设施安全设施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_Toc71894889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5E2C28CE">
      <w:pPr>
        <w:pStyle w:val="25"/>
        <w:tabs>
          <w:tab w:val="right" w:leader="dot" w:pos="8296"/>
        </w:tabs>
        <w:rPr>
          <w:rFonts w:ascii="宋体" w:hAnsi="宋体"/>
          <w:smallCaps w:val="0"/>
          <w:sz w:val="28"/>
          <w:szCs w:val="28"/>
        </w:rPr>
      </w:pPr>
      <w:r>
        <w:fldChar w:fldCharType="begin"/>
      </w:r>
      <w:r>
        <w:instrText xml:space="preserve"> HYPERLINK \l "_Toc71894890" </w:instrText>
      </w:r>
      <w:r>
        <w:fldChar w:fldCharType="separate"/>
      </w:r>
      <w:r>
        <w:rPr>
          <w:rStyle w:val="40"/>
          <w:rFonts w:ascii="宋体" w:hAnsi="宋体"/>
          <w:color w:val="auto"/>
          <w:kern w:val="3"/>
          <w:sz w:val="28"/>
          <w:szCs w:val="28"/>
        </w:rPr>
        <w:t>2.9.7</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_Toc71894890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09899C3C">
      <w:pPr>
        <w:pStyle w:val="25"/>
        <w:tabs>
          <w:tab w:val="right" w:leader="dot" w:pos="8296"/>
        </w:tabs>
        <w:rPr>
          <w:rFonts w:ascii="宋体" w:hAnsi="宋体"/>
          <w:smallCaps w:val="0"/>
          <w:sz w:val="28"/>
          <w:szCs w:val="28"/>
        </w:rPr>
      </w:pPr>
      <w:r>
        <w:fldChar w:fldCharType="begin"/>
      </w:r>
      <w:r>
        <w:instrText xml:space="preserve"> HYPERLINK \l "_Toc71894891" </w:instrText>
      </w:r>
      <w:r>
        <w:fldChar w:fldCharType="separate"/>
      </w:r>
      <w:r>
        <w:rPr>
          <w:rStyle w:val="40"/>
          <w:rFonts w:ascii="宋体" w:hAnsi="宋体"/>
          <w:color w:val="auto"/>
          <w:kern w:val="3"/>
          <w:sz w:val="28"/>
          <w:szCs w:val="28"/>
        </w:rPr>
        <w:t>2.9.8</w:t>
      </w:r>
      <w:r>
        <w:rPr>
          <w:rStyle w:val="40"/>
          <w:rFonts w:hint="eastAsia" w:ascii="宋体" w:hAnsi="宋体"/>
          <w:color w:val="auto"/>
          <w:kern w:val="3"/>
          <w:sz w:val="28"/>
          <w:szCs w:val="28"/>
        </w:rPr>
        <w:t>加油站安全投入情况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_Toc71894891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1E117E30">
      <w:pPr>
        <w:pStyle w:val="25"/>
        <w:tabs>
          <w:tab w:val="right" w:leader="dot" w:pos="8296"/>
        </w:tabs>
        <w:rPr>
          <w:rFonts w:ascii="宋体" w:hAnsi="宋体"/>
          <w:smallCaps w:val="0"/>
          <w:sz w:val="28"/>
          <w:szCs w:val="28"/>
        </w:rPr>
      </w:pPr>
      <w:r>
        <w:fldChar w:fldCharType="begin"/>
      </w:r>
      <w:r>
        <w:instrText xml:space="preserve"> HYPERLINK \l "_Toc71894892" </w:instrText>
      </w:r>
      <w:r>
        <w:fldChar w:fldCharType="separate"/>
      </w:r>
      <w:r>
        <w:rPr>
          <w:rStyle w:val="40"/>
          <w:rFonts w:ascii="宋体" w:hAnsi="宋体"/>
          <w:color w:val="auto"/>
          <w:kern w:val="3"/>
          <w:sz w:val="28"/>
          <w:szCs w:val="28"/>
        </w:rPr>
        <w:t>2.10</w:t>
      </w:r>
      <w:r>
        <w:rPr>
          <w:rStyle w:val="40"/>
          <w:rFonts w:hint="eastAsia" w:ascii="宋体" w:hAnsi="宋体"/>
          <w:color w:val="auto"/>
          <w:kern w:val="3"/>
          <w:sz w:val="28"/>
          <w:szCs w:val="28"/>
        </w:rPr>
        <w:t>安全管理组织及制度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_Toc71894892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10425FC7">
      <w:pPr>
        <w:pStyle w:val="25"/>
        <w:tabs>
          <w:tab w:val="right" w:leader="dot" w:pos="8296"/>
        </w:tabs>
        <w:rPr>
          <w:rFonts w:ascii="宋体" w:hAnsi="宋体"/>
          <w:smallCaps w:val="0"/>
          <w:sz w:val="28"/>
          <w:szCs w:val="28"/>
        </w:rPr>
      </w:pPr>
      <w:r>
        <w:fldChar w:fldCharType="begin"/>
      </w:r>
      <w:r>
        <w:instrText xml:space="preserve"> HYPERLINK \l "_Toc71894893" </w:instrText>
      </w:r>
      <w:r>
        <w:fldChar w:fldCharType="separate"/>
      </w:r>
      <w:r>
        <w:rPr>
          <w:rStyle w:val="40"/>
          <w:rFonts w:ascii="宋体" w:hAnsi="宋体"/>
          <w:color w:val="auto"/>
          <w:kern w:val="3"/>
          <w:sz w:val="28"/>
          <w:szCs w:val="28"/>
        </w:rPr>
        <w:t>2.10.1</w:t>
      </w:r>
      <w:r>
        <w:rPr>
          <w:rStyle w:val="40"/>
          <w:rFonts w:hint="eastAsia" w:ascii="宋体" w:hAnsi="宋体"/>
          <w:color w:val="auto"/>
          <w:kern w:val="3"/>
          <w:sz w:val="28"/>
          <w:szCs w:val="28"/>
        </w:rPr>
        <w:t>工作制度与劳动定员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_Toc71894893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7CBB94BF">
      <w:pPr>
        <w:pStyle w:val="25"/>
        <w:tabs>
          <w:tab w:val="right" w:leader="dot" w:pos="8296"/>
        </w:tabs>
        <w:rPr>
          <w:rFonts w:ascii="宋体" w:hAnsi="宋体"/>
          <w:smallCaps w:val="0"/>
          <w:sz w:val="28"/>
          <w:szCs w:val="28"/>
        </w:rPr>
      </w:pPr>
      <w:r>
        <w:fldChar w:fldCharType="begin"/>
      </w:r>
      <w:r>
        <w:instrText xml:space="preserve"> HYPERLINK \l "_Toc71894894" </w:instrText>
      </w:r>
      <w:r>
        <w:fldChar w:fldCharType="separate"/>
      </w:r>
      <w:r>
        <w:rPr>
          <w:rStyle w:val="40"/>
          <w:rFonts w:ascii="宋体" w:hAnsi="宋体"/>
          <w:color w:val="auto"/>
          <w:kern w:val="3"/>
          <w:sz w:val="28"/>
          <w:szCs w:val="28"/>
        </w:rPr>
        <w:t>2.10.2</w:t>
      </w:r>
      <w:r>
        <w:rPr>
          <w:rStyle w:val="40"/>
          <w:rFonts w:hint="eastAsia" w:ascii="宋体" w:hAnsi="宋体"/>
          <w:color w:val="auto"/>
          <w:kern w:val="3"/>
          <w:sz w:val="28"/>
          <w:szCs w:val="28"/>
        </w:rPr>
        <w:t>安全生产管理机构及管理制度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_Toc71894894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03DD096D">
      <w:pPr>
        <w:pStyle w:val="25"/>
        <w:tabs>
          <w:tab w:val="right" w:leader="dot" w:pos="8296"/>
        </w:tabs>
        <w:rPr>
          <w:rFonts w:ascii="宋体" w:hAnsi="宋体"/>
          <w:smallCaps w:val="0"/>
          <w:sz w:val="28"/>
          <w:szCs w:val="28"/>
        </w:rPr>
      </w:pPr>
      <w:r>
        <w:fldChar w:fldCharType="begin"/>
      </w:r>
      <w:r>
        <w:instrText xml:space="preserve"> HYPERLINK \l "_Toc71894895" </w:instrText>
      </w:r>
      <w:r>
        <w:fldChar w:fldCharType="separate"/>
      </w:r>
      <w:r>
        <w:rPr>
          <w:rStyle w:val="40"/>
          <w:rFonts w:ascii="宋体" w:hAnsi="宋体"/>
          <w:color w:val="auto"/>
          <w:kern w:val="3"/>
          <w:sz w:val="28"/>
          <w:szCs w:val="28"/>
        </w:rPr>
        <w:t>2.10.3</w:t>
      </w:r>
      <w:r>
        <w:rPr>
          <w:rStyle w:val="40"/>
          <w:rFonts w:hint="eastAsia" w:ascii="宋体" w:hAnsi="宋体"/>
          <w:color w:val="auto"/>
          <w:kern w:val="3"/>
          <w:sz w:val="28"/>
          <w:szCs w:val="28"/>
        </w:rPr>
        <w:t>应急救援预案</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_Toc71894895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598FD6B1">
      <w:pPr>
        <w:pStyle w:val="25"/>
        <w:tabs>
          <w:tab w:val="right" w:leader="dot" w:pos="8296"/>
        </w:tabs>
        <w:rPr>
          <w:rFonts w:ascii="宋体" w:hAnsi="宋体"/>
          <w:smallCaps w:val="0"/>
          <w:sz w:val="28"/>
          <w:szCs w:val="28"/>
        </w:rPr>
      </w:pPr>
      <w:r>
        <w:fldChar w:fldCharType="begin"/>
      </w:r>
      <w:r>
        <w:instrText xml:space="preserve"> HYPERLINK \l "_Toc71894896" </w:instrText>
      </w:r>
      <w:r>
        <w:fldChar w:fldCharType="separate"/>
      </w:r>
      <w:r>
        <w:rPr>
          <w:rStyle w:val="40"/>
          <w:rFonts w:ascii="宋体" w:hAnsi="宋体"/>
          <w:color w:val="auto"/>
          <w:kern w:val="3"/>
          <w:sz w:val="28"/>
          <w:szCs w:val="28"/>
        </w:rPr>
        <w:t>2.10.4</w:t>
      </w:r>
      <w:r>
        <w:rPr>
          <w:rStyle w:val="40"/>
          <w:rFonts w:hint="eastAsia" w:ascii="宋体" w:hAnsi="宋体"/>
          <w:color w:val="auto"/>
          <w:kern w:val="3"/>
          <w:sz w:val="28"/>
          <w:szCs w:val="28"/>
        </w:rPr>
        <w:t>特殊作业情况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_Toc71894896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3FF87270">
      <w:pPr>
        <w:pStyle w:val="25"/>
        <w:tabs>
          <w:tab w:val="right" w:leader="dot" w:pos="8296"/>
        </w:tabs>
        <w:rPr>
          <w:rFonts w:ascii="宋体" w:hAnsi="宋体"/>
          <w:smallCaps w:val="0"/>
          <w:sz w:val="28"/>
          <w:szCs w:val="28"/>
        </w:rPr>
      </w:pPr>
      <w:r>
        <w:fldChar w:fldCharType="begin"/>
      </w:r>
      <w:r>
        <w:instrText xml:space="preserve"> HYPERLINK \l "_Toc71894897" </w:instrText>
      </w:r>
      <w:r>
        <w:fldChar w:fldCharType="separate"/>
      </w:r>
      <w:r>
        <w:rPr>
          <w:rStyle w:val="40"/>
          <w:rFonts w:ascii="宋体" w:hAnsi="宋体"/>
          <w:color w:val="auto"/>
          <w:kern w:val="3"/>
          <w:sz w:val="28"/>
          <w:szCs w:val="28"/>
        </w:rPr>
        <w:t>2.10.5</w:t>
      </w:r>
      <w:r>
        <w:rPr>
          <w:rStyle w:val="40"/>
          <w:rFonts w:hint="eastAsia" w:ascii="宋体" w:hAnsi="宋体"/>
          <w:color w:val="auto"/>
          <w:kern w:val="3"/>
          <w:sz w:val="28"/>
          <w:szCs w:val="28"/>
        </w:rPr>
        <w:t>从业人员保险及劳动保护</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_Toc71894897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6A9CCF30">
      <w:pPr>
        <w:pStyle w:val="25"/>
        <w:tabs>
          <w:tab w:val="right" w:leader="dot" w:pos="8296"/>
        </w:tabs>
        <w:rPr>
          <w:rFonts w:ascii="宋体" w:hAnsi="宋体"/>
          <w:smallCaps w:val="0"/>
          <w:sz w:val="28"/>
          <w:szCs w:val="28"/>
        </w:rPr>
      </w:pPr>
      <w:r>
        <w:fldChar w:fldCharType="begin"/>
      </w:r>
      <w:r>
        <w:instrText xml:space="preserve"> HYPERLINK \l "_Toc71894898" </w:instrText>
      </w:r>
      <w:r>
        <w:fldChar w:fldCharType="separate"/>
      </w:r>
      <w:r>
        <w:rPr>
          <w:rStyle w:val="40"/>
          <w:rFonts w:ascii="宋体" w:hAnsi="宋体"/>
          <w:color w:val="auto"/>
          <w:kern w:val="3"/>
          <w:sz w:val="28"/>
          <w:szCs w:val="28"/>
        </w:rPr>
        <w:t>2.11</w:t>
      </w:r>
      <w:r>
        <w:rPr>
          <w:rStyle w:val="40"/>
          <w:rFonts w:hint="eastAsia" w:ascii="宋体" w:hAnsi="宋体"/>
          <w:color w:val="auto"/>
          <w:kern w:val="3"/>
          <w:sz w:val="28"/>
          <w:szCs w:val="28"/>
        </w:rPr>
        <w:t>取证以来企业变更情况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_Toc71894898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0A08CDB1">
      <w:pPr>
        <w:pStyle w:val="25"/>
        <w:tabs>
          <w:tab w:val="right" w:leader="dot" w:pos="8296"/>
        </w:tabs>
        <w:rPr>
          <w:rFonts w:ascii="宋体" w:hAnsi="宋体"/>
          <w:smallCaps w:val="0"/>
          <w:sz w:val="28"/>
          <w:szCs w:val="28"/>
        </w:rPr>
      </w:pPr>
      <w:r>
        <w:fldChar w:fldCharType="begin"/>
      </w:r>
      <w:r>
        <w:instrText xml:space="preserve"> HYPERLINK \l "_Toc71894899"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3</w:t>
      </w:r>
      <w:r>
        <w:rPr>
          <w:rStyle w:val="40"/>
          <w:rFonts w:hint="eastAsia" w:ascii="宋体" w:hAnsi="宋体"/>
          <w:color w:val="auto"/>
          <w:kern w:val="3"/>
          <w:sz w:val="28"/>
          <w:szCs w:val="28"/>
        </w:rPr>
        <w:t>章危险、有害因素的辨识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_Toc71894899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0FFD15A8">
      <w:pPr>
        <w:pStyle w:val="25"/>
        <w:tabs>
          <w:tab w:val="right" w:leader="dot" w:pos="8296"/>
        </w:tabs>
        <w:rPr>
          <w:rFonts w:ascii="宋体" w:hAnsi="宋体"/>
          <w:smallCaps w:val="0"/>
          <w:sz w:val="28"/>
          <w:szCs w:val="28"/>
        </w:rPr>
      </w:pPr>
      <w:r>
        <w:fldChar w:fldCharType="begin"/>
      </w:r>
      <w:r>
        <w:instrText xml:space="preserve"> HYPERLINK \l "_Toc71894900" </w:instrText>
      </w:r>
      <w:r>
        <w:fldChar w:fldCharType="separate"/>
      </w:r>
      <w:r>
        <w:rPr>
          <w:rStyle w:val="40"/>
          <w:rFonts w:ascii="宋体" w:hAnsi="宋体"/>
          <w:color w:val="auto"/>
          <w:kern w:val="3"/>
          <w:sz w:val="28"/>
          <w:szCs w:val="28"/>
        </w:rPr>
        <w:t>3.1</w:t>
      </w:r>
      <w:r>
        <w:rPr>
          <w:rStyle w:val="40"/>
          <w:rFonts w:hint="eastAsia" w:ascii="宋体" w:hAnsi="宋体"/>
          <w:color w:val="auto"/>
          <w:kern w:val="3"/>
          <w:sz w:val="28"/>
          <w:szCs w:val="28"/>
        </w:rPr>
        <w:t>危险、有害物质及其特性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_Toc71894900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6AB106C7">
      <w:pPr>
        <w:pStyle w:val="25"/>
        <w:tabs>
          <w:tab w:val="right" w:leader="dot" w:pos="8296"/>
        </w:tabs>
        <w:rPr>
          <w:rFonts w:ascii="宋体" w:hAnsi="宋体"/>
          <w:smallCaps w:val="0"/>
          <w:sz w:val="28"/>
          <w:szCs w:val="28"/>
        </w:rPr>
      </w:pPr>
      <w:r>
        <w:fldChar w:fldCharType="begin"/>
      </w:r>
      <w:r>
        <w:instrText xml:space="preserve"> HYPERLINK \l "_Toc71894901" </w:instrText>
      </w:r>
      <w:r>
        <w:fldChar w:fldCharType="separate"/>
      </w:r>
      <w:r>
        <w:rPr>
          <w:rStyle w:val="40"/>
          <w:rFonts w:ascii="宋体" w:hAnsi="宋体"/>
          <w:color w:val="auto"/>
          <w:kern w:val="3"/>
          <w:sz w:val="28"/>
          <w:szCs w:val="28"/>
        </w:rPr>
        <w:t>3.2</w:t>
      </w:r>
      <w:r>
        <w:rPr>
          <w:rStyle w:val="40"/>
          <w:rFonts w:hint="eastAsia" w:ascii="宋体" w:hAnsi="宋体"/>
          <w:color w:val="auto"/>
          <w:kern w:val="3"/>
          <w:sz w:val="28"/>
          <w:szCs w:val="28"/>
        </w:rPr>
        <w:t>主要危险、有害因素分析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_Toc71894901 \h </w:instrText>
      </w:r>
      <w:r>
        <w:rPr>
          <w:rFonts w:ascii="宋体" w:hAnsi="宋体"/>
          <w:sz w:val="28"/>
          <w:szCs w:val="28"/>
        </w:rPr>
        <w:fldChar w:fldCharType="separate"/>
      </w:r>
      <w:r>
        <w:rPr>
          <w:rFonts w:ascii="宋体" w:hAnsi="宋体"/>
          <w:sz w:val="28"/>
          <w:szCs w:val="28"/>
        </w:rPr>
        <w:t>31</w:t>
      </w:r>
      <w:r>
        <w:rPr>
          <w:rFonts w:ascii="宋体" w:hAnsi="宋体"/>
          <w:sz w:val="28"/>
          <w:szCs w:val="28"/>
        </w:rPr>
        <w:fldChar w:fldCharType="end"/>
      </w:r>
      <w:r>
        <w:rPr>
          <w:rFonts w:ascii="宋体" w:hAnsi="宋体"/>
          <w:sz w:val="28"/>
          <w:szCs w:val="28"/>
        </w:rPr>
        <w:fldChar w:fldCharType="end"/>
      </w:r>
    </w:p>
    <w:p w14:paraId="0A3FD08B">
      <w:pPr>
        <w:pStyle w:val="25"/>
        <w:tabs>
          <w:tab w:val="right" w:leader="dot" w:pos="8296"/>
        </w:tabs>
        <w:rPr>
          <w:rFonts w:ascii="宋体" w:hAnsi="宋体"/>
          <w:smallCaps w:val="0"/>
          <w:sz w:val="28"/>
          <w:szCs w:val="28"/>
        </w:rPr>
      </w:pPr>
      <w:r>
        <w:fldChar w:fldCharType="begin"/>
      </w:r>
      <w:r>
        <w:instrText xml:space="preserve"> HYPERLINK \l "_Toc71894902" </w:instrText>
      </w:r>
      <w:r>
        <w:fldChar w:fldCharType="separate"/>
      </w:r>
      <w:r>
        <w:rPr>
          <w:rStyle w:val="40"/>
          <w:rFonts w:ascii="宋体" w:hAnsi="宋体"/>
          <w:color w:val="auto"/>
          <w:kern w:val="3"/>
          <w:sz w:val="28"/>
          <w:szCs w:val="28"/>
        </w:rPr>
        <w:t>3.2.1</w:t>
      </w:r>
      <w:r>
        <w:rPr>
          <w:rStyle w:val="40"/>
          <w:rFonts w:hint="eastAsia" w:ascii="宋体" w:hAnsi="宋体"/>
          <w:color w:val="auto"/>
          <w:kern w:val="3"/>
          <w:sz w:val="28"/>
          <w:szCs w:val="28"/>
        </w:rPr>
        <w:t>选址的危险性分析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_Toc71894902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0B0B2D76">
      <w:pPr>
        <w:pStyle w:val="25"/>
        <w:tabs>
          <w:tab w:val="right" w:leader="dot" w:pos="8296"/>
        </w:tabs>
        <w:rPr>
          <w:rFonts w:ascii="宋体" w:hAnsi="宋体"/>
          <w:smallCaps w:val="0"/>
          <w:sz w:val="28"/>
          <w:szCs w:val="28"/>
        </w:rPr>
      </w:pPr>
      <w:r>
        <w:fldChar w:fldCharType="begin"/>
      </w:r>
      <w:r>
        <w:instrText xml:space="preserve"> HYPERLINK \l "_Toc71894903" </w:instrText>
      </w:r>
      <w:r>
        <w:fldChar w:fldCharType="separate"/>
      </w:r>
      <w:r>
        <w:rPr>
          <w:rStyle w:val="40"/>
          <w:rFonts w:ascii="宋体" w:hAnsi="宋体"/>
          <w:color w:val="auto"/>
          <w:kern w:val="3"/>
          <w:sz w:val="28"/>
          <w:szCs w:val="28"/>
        </w:rPr>
        <w:t>3.2.2</w:t>
      </w:r>
      <w:r>
        <w:rPr>
          <w:rStyle w:val="40"/>
          <w:rFonts w:hint="eastAsia" w:ascii="宋体" w:hAnsi="宋体"/>
          <w:color w:val="auto"/>
          <w:kern w:val="3"/>
          <w:sz w:val="28"/>
          <w:szCs w:val="28"/>
        </w:rPr>
        <w:t>总平面布置的危险性分析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_Toc71894903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1D9F7686">
      <w:pPr>
        <w:pStyle w:val="25"/>
        <w:tabs>
          <w:tab w:val="right" w:leader="dot" w:pos="8296"/>
        </w:tabs>
        <w:rPr>
          <w:rFonts w:ascii="宋体" w:hAnsi="宋体"/>
          <w:smallCaps w:val="0"/>
          <w:sz w:val="28"/>
          <w:szCs w:val="28"/>
        </w:rPr>
      </w:pPr>
      <w:r>
        <w:fldChar w:fldCharType="begin"/>
      </w:r>
      <w:r>
        <w:instrText xml:space="preserve"> HYPERLINK \l "_Toc71894904" </w:instrText>
      </w:r>
      <w:r>
        <w:fldChar w:fldCharType="separate"/>
      </w:r>
      <w:r>
        <w:rPr>
          <w:rStyle w:val="40"/>
          <w:rFonts w:ascii="宋体" w:hAnsi="宋体"/>
          <w:color w:val="auto"/>
          <w:kern w:val="3"/>
          <w:sz w:val="28"/>
          <w:szCs w:val="28"/>
        </w:rPr>
        <w:t>3.2.3</w:t>
      </w:r>
      <w:r>
        <w:rPr>
          <w:rStyle w:val="40"/>
          <w:rFonts w:hint="eastAsia" w:ascii="宋体" w:hAnsi="宋体"/>
          <w:color w:val="auto"/>
          <w:kern w:val="3"/>
          <w:sz w:val="28"/>
          <w:szCs w:val="28"/>
        </w:rPr>
        <w:t>点火源危险性分析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_Toc71894904 \h </w:instrText>
      </w:r>
      <w:r>
        <w:rPr>
          <w:rFonts w:ascii="宋体" w:hAnsi="宋体"/>
          <w:sz w:val="28"/>
          <w:szCs w:val="28"/>
        </w:rPr>
        <w:fldChar w:fldCharType="separate"/>
      </w:r>
      <w:r>
        <w:rPr>
          <w:rFonts w:ascii="宋体" w:hAnsi="宋体"/>
          <w:sz w:val="28"/>
          <w:szCs w:val="28"/>
        </w:rPr>
        <w:t>34</w:t>
      </w:r>
      <w:r>
        <w:rPr>
          <w:rFonts w:ascii="宋体" w:hAnsi="宋体"/>
          <w:sz w:val="28"/>
          <w:szCs w:val="28"/>
        </w:rPr>
        <w:fldChar w:fldCharType="end"/>
      </w:r>
      <w:r>
        <w:rPr>
          <w:rFonts w:ascii="宋体" w:hAnsi="宋体"/>
          <w:sz w:val="28"/>
          <w:szCs w:val="28"/>
        </w:rPr>
        <w:fldChar w:fldCharType="end"/>
      </w:r>
    </w:p>
    <w:p w14:paraId="50667439">
      <w:pPr>
        <w:pStyle w:val="25"/>
        <w:tabs>
          <w:tab w:val="right" w:leader="dot" w:pos="8296"/>
        </w:tabs>
        <w:rPr>
          <w:rFonts w:ascii="宋体" w:hAnsi="宋体"/>
          <w:smallCaps w:val="0"/>
          <w:sz w:val="28"/>
          <w:szCs w:val="28"/>
        </w:rPr>
      </w:pPr>
      <w:r>
        <w:fldChar w:fldCharType="begin"/>
      </w:r>
      <w:r>
        <w:instrText xml:space="preserve"> HYPERLINK \l "_Toc71894905" </w:instrText>
      </w:r>
      <w:r>
        <w:fldChar w:fldCharType="separate"/>
      </w:r>
      <w:r>
        <w:rPr>
          <w:rStyle w:val="40"/>
          <w:rFonts w:ascii="宋体" w:hAnsi="宋体"/>
          <w:color w:val="auto"/>
          <w:kern w:val="3"/>
          <w:sz w:val="28"/>
          <w:szCs w:val="28"/>
        </w:rPr>
        <w:t>3.2.4</w:t>
      </w:r>
      <w:r>
        <w:rPr>
          <w:rStyle w:val="40"/>
          <w:rFonts w:hint="eastAsia" w:ascii="宋体" w:hAnsi="宋体"/>
          <w:color w:val="auto"/>
          <w:kern w:val="3"/>
          <w:sz w:val="28"/>
          <w:szCs w:val="28"/>
        </w:rPr>
        <w:t>非作业事故产生火灾分析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_Toc71894905 \h </w:instrText>
      </w:r>
      <w:r>
        <w:rPr>
          <w:rFonts w:ascii="宋体" w:hAnsi="宋体"/>
          <w:sz w:val="28"/>
          <w:szCs w:val="28"/>
        </w:rPr>
        <w:fldChar w:fldCharType="separate"/>
      </w:r>
      <w:r>
        <w:rPr>
          <w:rFonts w:ascii="宋体" w:hAnsi="宋体"/>
          <w:sz w:val="28"/>
          <w:szCs w:val="28"/>
        </w:rPr>
        <w:t>36</w:t>
      </w:r>
      <w:r>
        <w:rPr>
          <w:rFonts w:ascii="宋体" w:hAnsi="宋体"/>
          <w:sz w:val="28"/>
          <w:szCs w:val="28"/>
        </w:rPr>
        <w:fldChar w:fldCharType="end"/>
      </w:r>
      <w:r>
        <w:rPr>
          <w:rFonts w:ascii="宋体" w:hAnsi="宋体"/>
          <w:sz w:val="28"/>
          <w:szCs w:val="28"/>
        </w:rPr>
        <w:fldChar w:fldCharType="end"/>
      </w:r>
    </w:p>
    <w:p w14:paraId="11A3FC13">
      <w:pPr>
        <w:pStyle w:val="25"/>
        <w:tabs>
          <w:tab w:val="right" w:leader="dot" w:pos="8296"/>
        </w:tabs>
        <w:rPr>
          <w:rFonts w:ascii="宋体" w:hAnsi="宋体"/>
          <w:smallCaps w:val="0"/>
          <w:sz w:val="28"/>
          <w:szCs w:val="28"/>
        </w:rPr>
      </w:pPr>
      <w:r>
        <w:fldChar w:fldCharType="begin"/>
      </w:r>
      <w:r>
        <w:instrText xml:space="preserve"> HYPERLINK \l "_Toc71894906" </w:instrText>
      </w:r>
      <w:r>
        <w:fldChar w:fldCharType="separate"/>
      </w:r>
      <w:r>
        <w:rPr>
          <w:rStyle w:val="40"/>
          <w:rFonts w:ascii="宋体" w:hAnsi="宋体"/>
          <w:color w:val="auto"/>
          <w:kern w:val="3"/>
          <w:sz w:val="28"/>
          <w:szCs w:val="28"/>
        </w:rPr>
        <w:t>3.2.5</w:t>
      </w:r>
      <w:r>
        <w:rPr>
          <w:rStyle w:val="40"/>
          <w:rFonts w:hint="eastAsia" w:ascii="宋体" w:hAnsi="宋体"/>
          <w:color w:val="auto"/>
          <w:kern w:val="3"/>
          <w:sz w:val="28"/>
          <w:szCs w:val="28"/>
        </w:rPr>
        <w:t>装置危险性分析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_Toc71894906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66A4FBCD">
      <w:pPr>
        <w:pStyle w:val="25"/>
        <w:tabs>
          <w:tab w:val="right" w:leader="dot" w:pos="8296"/>
        </w:tabs>
        <w:rPr>
          <w:rFonts w:ascii="宋体" w:hAnsi="宋体"/>
          <w:smallCaps w:val="0"/>
          <w:sz w:val="28"/>
          <w:szCs w:val="28"/>
        </w:rPr>
      </w:pPr>
      <w:r>
        <w:fldChar w:fldCharType="begin"/>
      </w:r>
      <w:r>
        <w:instrText xml:space="preserve"> HYPERLINK \l "_Toc71894907" </w:instrText>
      </w:r>
      <w:r>
        <w:fldChar w:fldCharType="separate"/>
      </w:r>
      <w:r>
        <w:rPr>
          <w:rStyle w:val="40"/>
          <w:rFonts w:ascii="宋体" w:hAnsi="宋体"/>
          <w:color w:val="auto"/>
          <w:kern w:val="3"/>
          <w:sz w:val="28"/>
          <w:szCs w:val="28"/>
        </w:rPr>
        <w:t>3.2.5.1</w:t>
      </w:r>
      <w:r>
        <w:rPr>
          <w:rStyle w:val="40"/>
          <w:rFonts w:hint="eastAsia" w:ascii="宋体" w:hAnsi="宋体"/>
          <w:color w:val="auto"/>
          <w:kern w:val="3"/>
          <w:sz w:val="28"/>
          <w:szCs w:val="28"/>
        </w:rPr>
        <w:t>加油机危险性分析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_Toc71894907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71F4824F">
      <w:pPr>
        <w:pStyle w:val="25"/>
        <w:tabs>
          <w:tab w:val="right" w:leader="dot" w:pos="8296"/>
        </w:tabs>
        <w:rPr>
          <w:rFonts w:ascii="宋体" w:hAnsi="宋体"/>
          <w:smallCaps w:val="0"/>
          <w:sz w:val="28"/>
          <w:szCs w:val="28"/>
        </w:rPr>
      </w:pPr>
      <w:r>
        <w:fldChar w:fldCharType="begin"/>
      </w:r>
      <w:r>
        <w:instrText xml:space="preserve"> HYPERLINK \l "_Toc71894908" </w:instrText>
      </w:r>
      <w:r>
        <w:fldChar w:fldCharType="separate"/>
      </w:r>
      <w:r>
        <w:rPr>
          <w:rStyle w:val="40"/>
          <w:rFonts w:ascii="宋体" w:hAnsi="宋体"/>
          <w:color w:val="auto"/>
          <w:kern w:val="3"/>
          <w:sz w:val="28"/>
          <w:szCs w:val="28"/>
        </w:rPr>
        <w:t>3.2.5.2</w:t>
      </w:r>
      <w:r>
        <w:rPr>
          <w:rStyle w:val="40"/>
          <w:rFonts w:hint="eastAsia" w:ascii="宋体" w:hAnsi="宋体"/>
          <w:color w:val="auto"/>
          <w:kern w:val="3"/>
          <w:sz w:val="28"/>
          <w:szCs w:val="28"/>
        </w:rPr>
        <w:t>油罐及管道危险性分析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_Toc71894908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3D0C1EF3">
      <w:pPr>
        <w:pStyle w:val="25"/>
        <w:tabs>
          <w:tab w:val="right" w:leader="dot" w:pos="8296"/>
        </w:tabs>
        <w:rPr>
          <w:rFonts w:ascii="宋体" w:hAnsi="宋体"/>
          <w:smallCaps w:val="0"/>
          <w:sz w:val="28"/>
          <w:szCs w:val="28"/>
        </w:rPr>
      </w:pPr>
      <w:r>
        <w:fldChar w:fldCharType="begin"/>
      </w:r>
      <w:r>
        <w:instrText xml:space="preserve"> HYPERLINK \l "_Toc71894909" </w:instrText>
      </w:r>
      <w:r>
        <w:fldChar w:fldCharType="separate"/>
      </w:r>
      <w:r>
        <w:rPr>
          <w:rStyle w:val="40"/>
          <w:rFonts w:ascii="宋体" w:hAnsi="宋体"/>
          <w:color w:val="auto"/>
          <w:kern w:val="3"/>
          <w:sz w:val="28"/>
          <w:szCs w:val="28"/>
        </w:rPr>
        <w:t>3.2.5.3</w:t>
      </w:r>
      <w:r>
        <w:rPr>
          <w:rStyle w:val="40"/>
          <w:rFonts w:hint="eastAsia" w:ascii="宋体" w:hAnsi="宋体"/>
          <w:color w:val="auto"/>
          <w:kern w:val="3"/>
          <w:sz w:val="28"/>
          <w:szCs w:val="28"/>
        </w:rPr>
        <w:t>装置火灾爆炸事故类型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_Toc71894909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6CFA7BB6">
      <w:pPr>
        <w:pStyle w:val="25"/>
        <w:tabs>
          <w:tab w:val="right" w:leader="dot" w:pos="8296"/>
        </w:tabs>
        <w:rPr>
          <w:rFonts w:ascii="宋体" w:hAnsi="宋体"/>
          <w:smallCaps w:val="0"/>
          <w:sz w:val="28"/>
          <w:szCs w:val="28"/>
        </w:rPr>
      </w:pPr>
      <w:r>
        <w:fldChar w:fldCharType="begin"/>
      </w:r>
      <w:r>
        <w:instrText xml:space="preserve"> HYPERLINK \l "_Toc71894910" </w:instrText>
      </w:r>
      <w:r>
        <w:fldChar w:fldCharType="separate"/>
      </w:r>
      <w:r>
        <w:rPr>
          <w:rStyle w:val="40"/>
          <w:rFonts w:ascii="宋体" w:hAnsi="宋体"/>
          <w:color w:val="auto"/>
          <w:kern w:val="3"/>
          <w:sz w:val="28"/>
          <w:szCs w:val="28"/>
        </w:rPr>
        <w:t>3.2.6</w:t>
      </w:r>
      <w:r>
        <w:rPr>
          <w:rStyle w:val="40"/>
          <w:rFonts w:hint="eastAsia" w:ascii="宋体" w:hAnsi="宋体"/>
          <w:color w:val="auto"/>
          <w:kern w:val="3"/>
          <w:sz w:val="28"/>
          <w:szCs w:val="28"/>
        </w:rPr>
        <w:t>工艺过程中的危险性分析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_Toc71894910 \h </w:instrText>
      </w:r>
      <w:r>
        <w:rPr>
          <w:rFonts w:ascii="宋体" w:hAnsi="宋体"/>
          <w:sz w:val="28"/>
          <w:szCs w:val="28"/>
        </w:rPr>
        <w:fldChar w:fldCharType="separate"/>
      </w:r>
      <w:r>
        <w:rPr>
          <w:rFonts w:ascii="宋体" w:hAnsi="宋体"/>
          <w:sz w:val="28"/>
          <w:szCs w:val="28"/>
        </w:rPr>
        <w:t>39</w:t>
      </w:r>
      <w:r>
        <w:rPr>
          <w:rFonts w:ascii="宋体" w:hAnsi="宋体"/>
          <w:sz w:val="28"/>
          <w:szCs w:val="28"/>
        </w:rPr>
        <w:fldChar w:fldCharType="end"/>
      </w:r>
      <w:r>
        <w:rPr>
          <w:rFonts w:ascii="宋体" w:hAnsi="宋体"/>
          <w:sz w:val="28"/>
          <w:szCs w:val="28"/>
        </w:rPr>
        <w:fldChar w:fldCharType="end"/>
      </w:r>
    </w:p>
    <w:p w14:paraId="1497E40E">
      <w:pPr>
        <w:pStyle w:val="25"/>
        <w:tabs>
          <w:tab w:val="right" w:leader="dot" w:pos="8296"/>
        </w:tabs>
        <w:rPr>
          <w:rFonts w:ascii="宋体" w:hAnsi="宋体"/>
          <w:smallCaps w:val="0"/>
          <w:sz w:val="28"/>
          <w:szCs w:val="28"/>
        </w:rPr>
      </w:pPr>
      <w:r>
        <w:fldChar w:fldCharType="begin"/>
      </w:r>
      <w:r>
        <w:instrText xml:space="preserve"> HYPERLINK \l "_Toc71894911" </w:instrText>
      </w:r>
      <w:r>
        <w:fldChar w:fldCharType="separate"/>
      </w:r>
      <w:r>
        <w:rPr>
          <w:rStyle w:val="40"/>
          <w:rFonts w:ascii="宋体" w:hAnsi="宋体"/>
          <w:color w:val="auto"/>
          <w:kern w:val="3"/>
          <w:sz w:val="28"/>
          <w:szCs w:val="28"/>
        </w:rPr>
        <w:t xml:space="preserve">3.3 </w:t>
      </w:r>
      <w:r>
        <w:rPr>
          <w:rStyle w:val="40"/>
          <w:rFonts w:hint="eastAsia" w:ascii="宋体" w:hAnsi="宋体"/>
          <w:color w:val="auto"/>
          <w:kern w:val="3"/>
          <w:sz w:val="28"/>
          <w:szCs w:val="28"/>
        </w:rPr>
        <w:t>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_Toc71894911 \h </w:instrText>
      </w:r>
      <w:r>
        <w:rPr>
          <w:rFonts w:ascii="宋体" w:hAnsi="宋体"/>
          <w:sz w:val="28"/>
          <w:szCs w:val="28"/>
        </w:rPr>
        <w:fldChar w:fldCharType="separate"/>
      </w:r>
      <w:r>
        <w:rPr>
          <w:rFonts w:ascii="宋体" w:hAnsi="宋体"/>
          <w:sz w:val="28"/>
          <w:szCs w:val="28"/>
        </w:rPr>
        <w:t>40</w:t>
      </w:r>
      <w:r>
        <w:rPr>
          <w:rFonts w:ascii="宋体" w:hAnsi="宋体"/>
          <w:sz w:val="28"/>
          <w:szCs w:val="28"/>
        </w:rPr>
        <w:fldChar w:fldCharType="end"/>
      </w:r>
      <w:r>
        <w:rPr>
          <w:rFonts w:ascii="宋体" w:hAnsi="宋体"/>
          <w:sz w:val="28"/>
          <w:szCs w:val="28"/>
        </w:rPr>
        <w:fldChar w:fldCharType="end"/>
      </w:r>
    </w:p>
    <w:p w14:paraId="43FBAA9A">
      <w:pPr>
        <w:pStyle w:val="25"/>
        <w:tabs>
          <w:tab w:val="right" w:leader="dot" w:pos="8296"/>
        </w:tabs>
        <w:rPr>
          <w:rFonts w:ascii="宋体" w:hAnsi="宋体"/>
          <w:smallCaps w:val="0"/>
          <w:sz w:val="28"/>
          <w:szCs w:val="28"/>
        </w:rPr>
      </w:pPr>
      <w:r>
        <w:fldChar w:fldCharType="begin"/>
      </w:r>
      <w:r>
        <w:instrText xml:space="preserve"> HYPERLINK \l "_Toc71894912" </w:instrText>
      </w:r>
      <w:r>
        <w:fldChar w:fldCharType="separate"/>
      </w:r>
      <w:r>
        <w:rPr>
          <w:rStyle w:val="40"/>
          <w:rFonts w:ascii="宋体" w:hAnsi="宋体"/>
          <w:color w:val="auto"/>
          <w:kern w:val="3"/>
          <w:sz w:val="28"/>
          <w:szCs w:val="28"/>
        </w:rPr>
        <w:t>3.4</w:t>
      </w:r>
      <w:r>
        <w:rPr>
          <w:rStyle w:val="40"/>
          <w:rFonts w:hint="eastAsia" w:ascii="宋体" w:hAnsi="宋体"/>
          <w:color w:val="auto"/>
          <w:kern w:val="3"/>
          <w:sz w:val="28"/>
          <w:szCs w:val="28"/>
        </w:rPr>
        <w:t>特殊作业</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_Toc71894912 \h </w:instrText>
      </w:r>
      <w:r>
        <w:rPr>
          <w:rFonts w:ascii="宋体" w:hAnsi="宋体"/>
          <w:sz w:val="28"/>
          <w:szCs w:val="28"/>
        </w:rPr>
        <w:fldChar w:fldCharType="separate"/>
      </w:r>
      <w:r>
        <w:rPr>
          <w:rFonts w:ascii="宋体" w:hAnsi="宋体"/>
          <w:sz w:val="28"/>
          <w:szCs w:val="28"/>
        </w:rPr>
        <w:t>45</w:t>
      </w:r>
      <w:r>
        <w:rPr>
          <w:rFonts w:ascii="宋体" w:hAnsi="宋体"/>
          <w:sz w:val="28"/>
          <w:szCs w:val="28"/>
        </w:rPr>
        <w:fldChar w:fldCharType="end"/>
      </w:r>
      <w:r>
        <w:rPr>
          <w:rFonts w:ascii="宋体" w:hAnsi="宋体"/>
          <w:sz w:val="28"/>
          <w:szCs w:val="28"/>
        </w:rPr>
        <w:fldChar w:fldCharType="end"/>
      </w:r>
    </w:p>
    <w:p w14:paraId="6ACDC8E8">
      <w:pPr>
        <w:pStyle w:val="25"/>
        <w:tabs>
          <w:tab w:val="right" w:leader="dot" w:pos="8296"/>
        </w:tabs>
        <w:rPr>
          <w:rFonts w:ascii="宋体" w:hAnsi="宋体"/>
          <w:smallCaps w:val="0"/>
          <w:sz w:val="28"/>
          <w:szCs w:val="28"/>
        </w:rPr>
      </w:pPr>
      <w:r>
        <w:fldChar w:fldCharType="begin"/>
      </w:r>
      <w:r>
        <w:instrText xml:space="preserve"> HYPERLINK \l "_Toc71894913" </w:instrText>
      </w:r>
      <w:r>
        <w:fldChar w:fldCharType="separate"/>
      </w:r>
      <w:r>
        <w:rPr>
          <w:rStyle w:val="40"/>
          <w:rFonts w:ascii="宋体" w:hAnsi="宋体"/>
          <w:color w:val="auto"/>
          <w:kern w:val="3"/>
          <w:sz w:val="28"/>
          <w:szCs w:val="28"/>
        </w:rPr>
        <w:t xml:space="preserve">3.4.1  </w:t>
      </w:r>
      <w:r>
        <w:rPr>
          <w:rStyle w:val="40"/>
          <w:rFonts w:hint="eastAsia" w:ascii="宋体" w:hAnsi="宋体"/>
          <w:color w:val="auto"/>
          <w:kern w:val="3"/>
          <w:sz w:val="28"/>
          <w:szCs w:val="28"/>
        </w:rPr>
        <w:t>动火作业危险性分析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_Toc71894913 \h </w:instrText>
      </w:r>
      <w:r>
        <w:rPr>
          <w:rFonts w:ascii="宋体" w:hAnsi="宋体"/>
          <w:sz w:val="28"/>
          <w:szCs w:val="28"/>
        </w:rPr>
        <w:fldChar w:fldCharType="separate"/>
      </w:r>
      <w:r>
        <w:rPr>
          <w:rFonts w:ascii="宋体" w:hAnsi="宋体"/>
          <w:sz w:val="28"/>
          <w:szCs w:val="28"/>
        </w:rPr>
        <w:t>45</w:t>
      </w:r>
      <w:r>
        <w:rPr>
          <w:rFonts w:ascii="宋体" w:hAnsi="宋体"/>
          <w:sz w:val="28"/>
          <w:szCs w:val="28"/>
        </w:rPr>
        <w:fldChar w:fldCharType="end"/>
      </w:r>
      <w:r>
        <w:rPr>
          <w:rFonts w:ascii="宋体" w:hAnsi="宋体"/>
          <w:sz w:val="28"/>
          <w:szCs w:val="28"/>
        </w:rPr>
        <w:fldChar w:fldCharType="end"/>
      </w:r>
    </w:p>
    <w:p w14:paraId="563696EA">
      <w:pPr>
        <w:pStyle w:val="25"/>
        <w:tabs>
          <w:tab w:val="right" w:leader="dot" w:pos="8296"/>
        </w:tabs>
        <w:rPr>
          <w:rFonts w:ascii="宋体" w:hAnsi="宋体"/>
          <w:smallCaps w:val="0"/>
          <w:sz w:val="28"/>
          <w:szCs w:val="28"/>
        </w:rPr>
      </w:pPr>
      <w:r>
        <w:fldChar w:fldCharType="begin"/>
      </w:r>
      <w:r>
        <w:instrText xml:space="preserve"> HYPERLINK \l "_Toc71894914" </w:instrText>
      </w:r>
      <w:r>
        <w:fldChar w:fldCharType="separate"/>
      </w:r>
      <w:r>
        <w:rPr>
          <w:rStyle w:val="40"/>
          <w:rFonts w:ascii="宋体" w:hAnsi="宋体"/>
          <w:color w:val="auto"/>
          <w:kern w:val="3"/>
          <w:sz w:val="28"/>
          <w:szCs w:val="28"/>
        </w:rPr>
        <w:t xml:space="preserve">3.4.2  </w:t>
      </w:r>
      <w:r>
        <w:rPr>
          <w:rStyle w:val="40"/>
          <w:rFonts w:hint="eastAsia" w:ascii="宋体" w:hAnsi="宋体"/>
          <w:color w:val="auto"/>
          <w:kern w:val="3"/>
          <w:sz w:val="28"/>
          <w:szCs w:val="28"/>
        </w:rPr>
        <w:t>受限空间作业危险性分析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_Toc71894914 \h </w:instrText>
      </w:r>
      <w:r>
        <w:rPr>
          <w:rFonts w:ascii="宋体" w:hAnsi="宋体"/>
          <w:sz w:val="28"/>
          <w:szCs w:val="28"/>
        </w:rPr>
        <w:fldChar w:fldCharType="separate"/>
      </w:r>
      <w:r>
        <w:rPr>
          <w:rFonts w:ascii="宋体" w:hAnsi="宋体"/>
          <w:sz w:val="28"/>
          <w:szCs w:val="28"/>
        </w:rPr>
        <w:t>46</w:t>
      </w:r>
      <w:r>
        <w:rPr>
          <w:rFonts w:ascii="宋体" w:hAnsi="宋体"/>
          <w:sz w:val="28"/>
          <w:szCs w:val="28"/>
        </w:rPr>
        <w:fldChar w:fldCharType="end"/>
      </w:r>
      <w:r>
        <w:rPr>
          <w:rFonts w:ascii="宋体" w:hAnsi="宋体"/>
          <w:sz w:val="28"/>
          <w:szCs w:val="28"/>
        </w:rPr>
        <w:fldChar w:fldCharType="end"/>
      </w:r>
    </w:p>
    <w:p w14:paraId="493DEF89">
      <w:pPr>
        <w:pStyle w:val="25"/>
        <w:tabs>
          <w:tab w:val="right" w:leader="dot" w:pos="8296"/>
        </w:tabs>
        <w:rPr>
          <w:rFonts w:ascii="宋体" w:hAnsi="宋体"/>
          <w:smallCaps w:val="0"/>
          <w:sz w:val="28"/>
          <w:szCs w:val="28"/>
        </w:rPr>
      </w:pPr>
      <w:r>
        <w:fldChar w:fldCharType="begin"/>
      </w:r>
      <w:r>
        <w:instrText xml:space="preserve"> HYPERLINK \l "_Toc71894915" </w:instrText>
      </w:r>
      <w:r>
        <w:fldChar w:fldCharType="separate"/>
      </w:r>
      <w:r>
        <w:rPr>
          <w:rStyle w:val="40"/>
          <w:rFonts w:ascii="宋体" w:hAnsi="宋体"/>
          <w:color w:val="auto"/>
          <w:kern w:val="3"/>
          <w:sz w:val="28"/>
          <w:szCs w:val="28"/>
        </w:rPr>
        <w:t xml:space="preserve">3.4.3  </w:t>
      </w:r>
      <w:r>
        <w:rPr>
          <w:rStyle w:val="40"/>
          <w:rFonts w:hint="eastAsia" w:ascii="宋体" w:hAnsi="宋体"/>
          <w:color w:val="auto"/>
          <w:kern w:val="3"/>
          <w:sz w:val="28"/>
          <w:szCs w:val="28"/>
        </w:rPr>
        <w:t>高处作业危险性分析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_Toc71894915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1765CD99">
      <w:pPr>
        <w:pStyle w:val="25"/>
        <w:tabs>
          <w:tab w:val="right" w:leader="dot" w:pos="8296"/>
        </w:tabs>
        <w:rPr>
          <w:rFonts w:ascii="宋体" w:hAnsi="宋体"/>
          <w:smallCaps w:val="0"/>
          <w:sz w:val="28"/>
          <w:szCs w:val="28"/>
        </w:rPr>
      </w:pPr>
      <w:r>
        <w:fldChar w:fldCharType="begin"/>
      </w:r>
      <w:r>
        <w:instrText xml:space="preserve"> HYPERLINK \l "_Toc71894916" </w:instrText>
      </w:r>
      <w:r>
        <w:fldChar w:fldCharType="separate"/>
      </w:r>
      <w:r>
        <w:rPr>
          <w:rStyle w:val="40"/>
          <w:rFonts w:ascii="宋体" w:hAnsi="宋体"/>
          <w:color w:val="auto"/>
          <w:kern w:val="3"/>
          <w:sz w:val="28"/>
          <w:szCs w:val="28"/>
        </w:rPr>
        <w:t xml:space="preserve">3.4.4  </w:t>
      </w:r>
      <w:r>
        <w:rPr>
          <w:rStyle w:val="40"/>
          <w:rFonts w:hint="eastAsia" w:ascii="宋体" w:hAnsi="宋体"/>
          <w:color w:val="auto"/>
          <w:kern w:val="3"/>
          <w:sz w:val="28"/>
          <w:szCs w:val="28"/>
        </w:rPr>
        <w:t>临时用电作业危险性分析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_Toc71894916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6985A23D">
      <w:pPr>
        <w:pStyle w:val="25"/>
        <w:tabs>
          <w:tab w:val="right" w:leader="dot" w:pos="8296"/>
        </w:tabs>
        <w:rPr>
          <w:rFonts w:ascii="宋体" w:hAnsi="宋体"/>
          <w:smallCaps w:val="0"/>
          <w:sz w:val="28"/>
          <w:szCs w:val="28"/>
        </w:rPr>
      </w:pPr>
      <w:r>
        <w:fldChar w:fldCharType="begin"/>
      </w:r>
      <w:r>
        <w:instrText xml:space="preserve"> HYPERLINK \l "_Toc71894917" </w:instrText>
      </w:r>
      <w:r>
        <w:fldChar w:fldCharType="separate"/>
      </w:r>
      <w:r>
        <w:rPr>
          <w:rStyle w:val="40"/>
          <w:rFonts w:ascii="宋体" w:hAnsi="宋体"/>
          <w:color w:val="auto"/>
          <w:kern w:val="3"/>
          <w:sz w:val="28"/>
          <w:szCs w:val="28"/>
        </w:rPr>
        <w:t>3.5</w:t>
      </w:r>
      <w:r>
        <w:rPr>
          <w:rStyle w:val="40"/>
          <w:rFonts w:hint="eastAsia" w:ascii="宋体" w:hAnsi="宋体"/>
          <w:color w:val="auto"/>
          <w:kern w:val="3"/>
          <w:sz w:val="28"/>
          <w:szCs w:val="28"/>
        </w:rPr>
        <w:t>主要危险有害因素的分布及危害</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_Toc71894917 \h </w:instrText>
      </w:r>
      <w:r>
        <w:rPr>
          <w:rFonts w:ascii="宋体" w:hAnsi="宋体"/>
          <w:sz w:val="28"/>
          <w:szCs w:val="28"/>
        </w:rPr>
        <w:fldChar w:fldCharType="separate"/>
      </w:r>
      <w:r>
        <w:rPr>
          <w:rFonts w:ascii="宋体" w:hAnsi="宋体"/>
          <w:sz w:val="28"/>
          <w:szCs w:val="28"/>
        </w:rPr>
        <w:t>49</w:t>
      </w:r>
      <w:r>
        <w:rPr>
          <w:rFonts w:ascii="宋体" w:hAnsi="宋体"/>
          <w:sz w:val="28"/>
          <w:szCs w:val="28"/>
        </w:rPr>
        <w:fldChar w:fldCharType="end"/>
      </w:r>
      <w:r>
        <w:rPr>
          <w:rFonts w:ascii="宋体" w:hAnsi="宋体"/>
          <w:sz w:val="28"/>
          <w:szCs w:val="28"/>
        </w:rPr>
        <w:fldChar w:fldCharType="end"/>
      </w:r>
    </w:p>
    <w:p w14:paraId="23BAD72A">
      <w:pPr>
        <w:pStyle w:val="25"/>
        <w:tabs>
          <w:tab w:val="right" w:leader="dot" w:pos="8296"/>
        </w:tabs>
        <w:rPr>
          <w:rFonts w:ascii="宋体" w:hAnsi="宋体"/>
          <w:smallCaps w:val="0"/>
          <w:sz w:val="28"/>
          <w:szCs w:val="28"/>
        </w:rPr>
      </w:pPr>
      <w:r>
        <w:fldChar w:fldCharType="begin"/>
      </w:r>
      <w:r>
        <w:instrText xml:space="preserve"> HYPERLINK \l "_Toc71894918" </w:instrText>
      </w:r>
      <w:r>
        <w:fldChar w:fldCharType="separate"/>
      </w:r>
      <w:r>
        <w:rPr>
          <w:rStyle w:val="40"/>
          <w:rFonts w:ascii="宋体" w:hAnsi="宋体"/>
          <w:color w:val="auto"/>
          <w:kern w:val="3"/>
          <w:sz w:val="28"/>
          <w:szCs w:val="28"/>
        </w:rPr>
        <w:t xml:space="preserve">3.6 </w:t>
      </w:r>
      <w:r>
        <w:rPr>
          <w:rStyle w:val="40"/>
          <w:rFonts w:hint="eastAsia" w:ascii="宋体" w:hAnsi="宋体"/>
          <w:color w:val="auto"/>
          <w:kern w:val="3"/>
          <w:sz w:val="28"/>
          <w:szCs w:val="28"/>
        </w:rPr>
        <w:t>重大危险源辨识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_Toc71894918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337CC22E">
      <w:pPr>
        <w:pStyle w:val="25"/>
        <w:tabs>
          <w:tab w:val="right" w:leader="dot" w:pos="8296"/>
        </w:tabs>
        <w:rPr>
          <w:rFonts w:ascii="宋体" w:hAnsi="宋体"/>
          <w:smallCaps w:val="0"/>
          <w:sz w:val="28"/>
          <w:szCs w:val="28"/>
        </w:rPr>
      </w:pPr>
      <w:r>
        <w:fldChar w:fldCharType="begin"/>
      </w:r>
      <w:r>
        <w:instrText xml:space="preserve"> HYPERLINK \l "_Toc71894919" </w:instrText>
      </w:r>
      <w:r>
        <w:fldChar w:fldCharType="separate"/>
      </w:r>
      <w:r>
        <w:rPr>
          <w:rStyle w:val="40"/>
          <w:rFonts w:ascii="宋体" w:hAnsi="宋体"/>
          <w:color w:val="auto"/>
          <w:kern w:val="3"/>
          <w:sz w:val="28"/>
          <w:szCs w:val="28"/>
        </w:rPr>
        <w:t>3.6.1</w:t>
      </w:r>
      <w:r>
        <w:rPr>
          <w:rStyle w:val="40"/>
          <w:rFonts w:hint="eastAsia" w:ascii="宋体" w:hAnsi="宋体"/>
          <w:color w:val="auto"/>
          <w:kern w:val="3"/>
          <w:sz w:val="28"/>
          <w:szCs w:val="28"/>
        </w:rPr>
        <w:t>辨识依据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_Toc71894919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34B1BA73">
      <w:pPr>
        <w:pStyle w:val="25"/>
        <w:tabs>
          <w:tab w:val="right" w:leader="dot" w:pos="8296"/>
        </w:tabs>
        <w:rPr>
          <w:rFonts w:ascii="宋体" w:hAnsi="宋体"/>
          <w:smallCaps w:val="0"/>
          <w:sz w:val="28"/>
          <w:szCs w:val="28"/>
        </w:rPr>
      </w:pPr>
      <w:r>
        <w:fldChar w:fldCharType="begin"/>
      </w:r>
      <w:r>
        <w:instrText xml:space="preserve"> HYPERLINK \l "_Toc71894920" </w:instrText>
      </w:r>
      <w:r>
        <w:fldChar w:fldCharType="separate"/>
      </w:r>
      <w:r>
        <w:rPr>
          <w:rStyle w:val="40"/>
          <w:rFonts w:ascii="宋体" w:hAnsi="宋体"/>
          <w:color w:val="auto"/>
          <w:kern w:val="3"/>
          <w:sz w:val="28"/>
          <w:szCs w:val="28"/>
        </w:rPr>
        <w:t>3.6.2</w:t>
      </w:r>
      <w:r>
        <w:rPr>
          <w:rStyle w:val="40"/>
          <w:rFonts w:hint="eastAsia" w:ascii="宋体" w:hAnsi="宋体"/>
          <w:color w:val="auto"/>
          <w:kern w:val="3"/>
          <w:sz w:val="28"/>
          <w:szCs w:val="28"/>
        </w:rPr>
        <w:t>辨识计算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_Toc71894920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44D063E2">
      <w:pPr>
        <w:pStyle w:val="25"/>
        <w:tabs>
          <w:tab w:val="right" w:leader="dot" w:pos="8296"/>
        </w:tabs>
        <w:rPr>
          <w:rFonts w:ascii="宋体" w:hAnsi="宋体"/>
          <w:smallCaps w:val="0"/>
          <w:sz w:val="28"/>
          <w:szCs w:val="28"/>
        </w:rPr>
      </w:pPr>
      <w:r>
        <w:fldChar w:fldCharType="begin"/>
      </w:r>
      <w:r>
        <w:instrText xml:space="preserve"> HYPERLINK \l "_Toc71894921" </w:instrText>
      </w:r>
      <w:r>
        <w:fldChar w:fldCharType="separate"/>
      </w:r>
      <w:r>
        <w:rPr>
          <w:rStyle w:val="40"/>
          <w:rFonts w:ascii="宋体" w:hAnsi="宋体"/>
          <w:color w:val="auto"/>
          <w:kern w:val="3"/>
          <w:sz w:val="28"/>
          <w:szCs w:val="28"/>
        </w:rPr>
        <w:t>3.6.3</w:t>
      </w:r>
      <w:r>
        <w:rPr>
          <w:rStyle w:val="40"/>
          <w:rFonts w:hint="eastAsia" w:ascii="宋体" w:hAnsi="宋体"/>
          <w:color w:val="auto"/>
          <w:kern w:val="3"/>
          <w:sz w:val="28"/>
          <w:szCs w:val="28"/>
        </w:rPr>
        <w:t>辨识结论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_Toc71894921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101B0E59">
      <w:pPr>
        <w:pStyle w:val="25"/>
        <w:tabs>
          <w:tab w:val="right" w:leader="dot" w:pos="8296"/>
        </w:tabs>
        <w:rPr>
          <w:rFonts w:ascii="宋体" w:hAnsi="宋体"/>
          <w:smallCaps w:val="0"/>
          <w:sz w:val="28"/>
          <w:szCs w:val="28"/>
        </w:rPr>
      </w:pPr>
      <w:r>
        <w:fldChar w:fldCharType="begin"/>
      </w:r>
      <w:r>
        <w:instrText xml:space="preserve"> HYPERLINK \l "_Toc71894922" </w:instrText>
      </w:r>
      <w:r>
        <w:fldChar w:fldCharType="separate"/>
      </w:r>
      <w:r>
        <w:rPr>
          <w:rStyle w:val="40"/>
          <w:rFonts w:ascii="宋体" w:hAnsi="宋体"/>
          <w:color w:val="auto"/>
          <w:kern w:val="3"/>
          <w:sz w:val="28"/>
          <w:szCs w:val="28"/>
        </w:rPr>
        <w:t>3.7</w:t>
      </w:r>
      <w:r>
        <w:rPr>
          <w:rStyle w:val="40"/>
          <w:rFonts w:hint="eastAsia" w:ascii="宋体" w:hAnsi="宋体"/>
          <w:color w:val="auto"/>
          <w:kern w:val="3"/>
          <w:sz w:val="28"/>
          <w:szCs w:val="28"/>
        </w:rPr>
        <w:t>重点监管危险化学品辨识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_Toc71894922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6E1B7F62">
      <w:pPr>
        <w:pStyle w:val="25"/>
        <w:tabs>
          <w:tab w:val="right" w:leader="dot" w:pos="8296"/>
        </w:tabs>
        <w:rPr>
          <w:rFonts w:ascii="宋体" w:hAnsi="宋体"/>
          <w:smallCaps w:val="0"/>
          <w:sz w:val="28"/>
          <w:szCs w:val="28"/>
        </w:rPr>
      </w:pPr>
      <w:r>
        <w:fldChar w:fldCharType="begin"/>
      </w:r>
      <w:r>
        <w:instrText xml:space="preserve"> HYPERLINK \l "_Toc71894923"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4</w:t>
      </w:r>
      <w:r>
        <w:rPr>
          <w:rStyle w:val="40"/>
          <w:rFonts w:hint="eastAsia" w:ascii="宋体" w:hAnsi="宋体"/>
          <w:color w:val="auto"/>
          <w:kern w:val="3"/>
          <w:sz w:val="28"/>
          <w:szCs w:val="28"/>
        </w:rPr>
        <w:t>章评价方法选择及评价单元划分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_Toc71894923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7067253C">
      <w:pPr>
        <w:pStyle w:val="25"/>
        <w:tabs>
          <w:tab w:val="right" w:leader="dot" w:pos="8296"/>
        </w:tabs>
        <w:rPr>
          <w:rFonts w:ascii="宋体" w:hAnsi="宋体"/>
          <w:smallCaps w:val="0"/>
          <w:sz w:val="28"/>
          <w:szCs w:val="28"/>
        </w:rPr>
      </w:pPr>
      <w:r>
        <w:fldChar w:fldCharType="begin"/>
      </w:r>
      <w:r>
        <w:instrText xml:space="preserve"> HYPERLINK \l "_Toc71894924" </w:instrText>
      </w:r>
      <w:r>
        <w:fldChar w:fldCharType="separate"/>
      </w:r>
      <w:r>
        <w:rPr>
          <w:rStyle w:val="40"/>
          <w:rFonts w:ascii="宋体" w:hAnsi="宋体"/>
          <w:color w:val="auto"/>
          <w:kern w:val="3"/>
          <w:sz w:val="28"/>
          <w:szCs w:val="28"/>
        </w:rPr>
        <w:t>4.1</w:t>
      </w:r>
      <w:r>
        <w:rPr>
          <w:rStyle w:val="40"/>
          <w:rFonts w:hint="eastAsia" w:ascii="宋体" w:hAnsi="宋体"/>
          <w:color w:val="auto"/>
          <w:kern w:val="3"/>
          <w:sz w:val="28"/>
          <w:szCs w:val="28"/>
        </w:rPr>
        <w:t>评价方法的选择</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_Toc71894924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027BDED4">
      <w:pPr>
        <w:pStyle w:val="25"/>
        <w:tabs>
          <w:tab w:val="right" w:leader="dot" w:pos="8296"/>
        </w:tabs>
        <w:rPr>
          <w:rFonts w:ascii="宋体" w:hAnsi="宋体"/>
          <w:smallCaps w:val="0"/>
          <w:sz w:val="28"/>
          <w:szCs w:val="28"/>
        </w:rPr>
      </w:pPr>
      <w:r>
        <w:fldChar w:fldCharType="begin"/>
      </w:r>
      <w:r>
        <w:instrText xml:space="preserve"> HYPERLINK \l "_Toc71894925" </w:instrText>
      </w:r>
      <w:r>
        <w:fldChar w:fldCharType="separate"/>
      </w:r>
      <w:r>
        <w:rPr>
          <w:rStyle w:val="40"/>
          <w:rFonts w:ascii="宋体" w:hAnsi="宋体"/>
          <w:color w:val="auto"/>
          <w:kern w:val="3"/>
          <w:sz w:val="28"/>
          <w:szCs w:val="28"/>
        </w:rPr>
        <w:t>4.2</w:t>
      </w:r>
      <w:r>
        <w:rPr>
          <w:rStyle w:val="40"/>
          <w:rFonts w:hint="eastAsia" w:ascii="宋体" w:hAnsi="宋体"/>
          <w:color w:val="auto"/>
          <w:kern w:val="3"/>
          <w:sz w:val="28"/>
          <w:szCs w:val="28"/>
        </w:rPr>
        <w:t>评价单元的划分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_Toc71894925 \h </w:instrText>
      </w:r>
      <w:r>
        <w:rPr>
          <w:rFonts w:ascii="宋体" w:hAnsi="宋体"/>
          <w:sz w:val="28"/>
          <w:szCs w:val="28"/>
        </w:rPr>
        <w:fldChar w:fldCharType="separate"/>
      </w:r>
      <w:r>
        <w:rPr>
          <w:rFonts w:ascii="宋体" w:hAnsi="宋体"/>
          <w:sz w:val="28"/>
          <w:szCs w:val="28"/>
        </w:rPr>
        <w:t>55</w:t>
      </w:r>
      <w:r>
        <w:rPr>
          <w:rFonts w:ascii="宋体" w:hAnsi="宋体"/>
          <w:sz w:val="28"/>
          <w:szCs w:val="28"/>
        </w:rPr>
        <w:fldChar w:fldCharType="end"/>
      </w:r>
      <w:r>
        <w:rPr>
          <w:rFonts w:ascii="宋体" w:hAnsi="宋体"/>
          <w:sz w:val="28"/>
          <w:szCs w:val="28"/>
        </w:rPr>
        <w:fldChar w:fldCharType="end"/>
      </w:r>
    </w:p>
    <w:p w14:paraId="0C9FAB34">
      <w:pPr>
        <w:pStyle w:val="25"/>
        <w:tabs>
          <w:tab w:val="right" w:leader="dot" w:pos="8296"/>
        </w:tabs>
        <w:rPr>
          <w:rFonts w:ascii="宋体" w:hAnsi="宋体"/>
          <w:smallCaps w:val="0"/>
          <w:sz w:val="28"/>
          <w:szCs w:val="28"/>
        </w:rPr>
      </w:pPr>
      <w:r>
        <w:fldChar w:fldCharType="begin"/>
      </w:r>
      <w:r>
        <w:instrText xml:space="preserve"> HYPERLINK \l "_Toc71894926"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5</w:t>
      </w:r>
      <w:r>
        <w:rPr>
          <w:rStyle w:val="40"/>
          <w:rFonts w:hint="eastAsia" w:ascii="宋体" w:hAnsi="宋体"/>
          <w:color w:val="auto"/>
          <w:kern w:val="3"/>
          <w:sz w:val="28"/>
          <w:szCs w:val="28"/>
        </w:rPr>
        <w:t>章危险、有害程度的定性、定量分析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_Toc71894926 \h </w:instrText>
      </w:r>
      <w:r>
        <w:rPr>
          <w:rFonts w:ascii="宋体" w:hAnsi="宋体"/>
          <w:sz w:val="28"/>
          <w:szCs w:val="28"/>
        </w:rPr>
        <w:fldChar w:fldCharType="separate"/>
      </w:r>
      <w:r>
        <w:rPr>
          <w:rFonts w:ascii="宋体" w:hAnsi="宋体"/>
          <w:sz w:val="28"/>
          <w:szCs w:val="28"/>
        </w:rPr>
        <w:t>57</w:t>
      </w:r>
      <w:r>
        <w:rPr>
          <w:rFonts w:ascii="宋体" w:hAnsi="宋体"/>
          <w:sz w:val="28"/>
          <w:szCs w:val="28"/>
        </w:rPr>
        <w:fldChar w:fldCharType="end"/>
      </w:r>
      <w:r>
        <w:rPr>
          <w:rFonts w:ascii="宋体" w:hAnsi="宋体"/>
          <w:sz w:val="28"/>
          <w:szCs w:val="28"/>
        </w:rPr>
        <w:fldChar w:fldCharType="end"/>
      </w:r>
    </w:p>
    <w:p w14:paraId="1FD0DABC">
      <w:pPr>
        <w:pStyle w:val="25"/>
        <w:tabs>
          <w:tab w:val="right" w:leader="dot" w:pos="8296"/>
        </w:tabs>
        <w:rPr>
          <w:rFonts w:ascii="宋体" w:hAnsi="宋体"/>
          <w:smallCaps w:val="0"/>
          <w:sz w:val="28"/>
          <w:szCs w:val="28"/>
        </w:rPr>
      </w:pPr>
      <w:r>
        <w:fldChar w:fldCharType="begin"/>
      </w:r>
      <w:r>
        <w:instrText xml:space="preserve"> HYPERLINK \l "_Toc71894927" </w:instrText>
      </w:r>
      <w:r>
        <w:fldChar w:fldCharType="separate"/>
      </w:r>
      <w:r>
        <w:rPr>
          <w:rStyle w:val="40"/>
          <w:rFonts w:ascii="宋体" w:hAnsi="宋体"/>
          <w:color w:val="auto"/>
          <w:kern w:val="3"/>
          <w:sz w:val="28"/>
          <w:szCs w:val="28"/>
        </w:rPr>
        <w:t>5.1</w:t>
      </w:r>
      <w:r>
        <w:rPr>
          <w:rStyle w:val="40"/>
          <w:rFonts w:hint="eastAsia" w:ascii="宋体" w:hAnsi="宋体"/>
          <w:color w:val="auto"/>
          <w:kern w:val="3"/>
          <w:sz w:val="28"/>
          <w:szCs w:val="28"/>
        </w:rPr>
        <w:t>汽油蒸汽云爆炸定量估算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_Toc71894927 \h </w:instrText>
      </w:r>
      <w:r>
        <w:rPr>
          <w:rFonts w:ascii="宋体" w:hAnsi="宋体"/>
          <w:sz w:val="28"/>
          <w:szCs w:val="28"/>
        </w:rPr>
        <w:fldChar w:fldCharType="separate"/>
      </w:r>
      <w:r>
        <w:rPr>
          <w:rFonts w:ascii="宋体" w:hAnsi="宋体"/>
          <w:sz w:val="28"/>
          <w:szCs w:val="28"/>
        </w:rPr>
        <w:t>57</w:t>
      </w:r>
      <w:r>
        <w:rPr>
          <w:rFonts w:ascii="宋体" w:hAnsi="宋体"/>
          <w:sz w:val="28"/>
          <w:szCs w:val="28"/>
        </w:rPr>
        <w:fldChar w:fldCharType="end"/>
      </w:r>
      <w:r>
        <w:rPr>
          <w:rFonts w:ascii="宋体" w:hAnsi="宋体"/>
          <w:sz w:val="28"/>
          <w:szCs w:val="28"/>
        </w:rPr>
        <w:fldChar w:fldCharType="end"/>
      </w:r>
    </w:p>
    <w:p w14:paraId="1EA2A293">
      <w:pPr>
        <w:pStyle w:val="25"/>
        <w:tabs>
          <w:tab w:val="right" w:leader="dot" w:pos="8296"/>
        </w:tabs>
        <w:rPr>
          <w:rFonts w:ascii="宋体" w:hAnsi="宋体"/>
          <w:smallCaps w:val="0"/>
          <w:sz w:val="28"/>
          <w:szCs w:val="28"/>
        </w:rPr>
      </w:pPr>
      <w:r>
        <w:fldChar w:fldCharType="begin"/>
      </w:r>
      <w:r>
        <w:instrText xml:space="preserve"> HYPERLINK \l "_Toc71894928" </w:instrText>
      </w:r>
      <w:r>
        <w:fldChar w:fldCharType="separate"/>
      </w:r>
      <w:r>
        <w:rPr>
          <w:rStyle w:val="40"/>
          <w:rFonts w:ascii="宋体" w:hAnsi="宋体"/>
          <w:color w:val="auto"/>
          <w:kern w:val="3"/>
          <w:sz w:val="28"/>
          <w:szCs w:val="28"/>
        </w:rPr>
        <w:t xml:space="preserve">5.2 </w:t>
      </w:r>
      <w:r>
        <w:rPr>
          <w:rStyle w:val="40"/>
          <w:rFonts w:hint="eastAsia" w:ascii="宋体" w:hAnsi="宋体"/>
          <w:color w:val="auto"/>
          <w:kern w:val="3"/>
          <w:sz w:val="28"/>
          <w:szCs w:val="28"/>
        </w:rPr>
        <w:t>火灾爆炸事故分析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_Toc71894928 \h </w:instrText>
      </w:r>
      <w:r>
        <w:rPr>
          <w:rFonts w:ascii="宋体" w:hAnsi="宋体"/>
          <w:sz w:val="28"/>
          <w:szCs w:val="28"/>
        </w:rPr>
        <w:fldChar w:fldCharType="separate"/>
      </w:r>
      <w:r>
        <w:rPr>
          <w:rFonts w:ascii="宋体" w:hAnsi="宋体"/>
          <w:sz w:val="28"/>
          <w:szCs w:val="28"/>
        </w:rPr>
        <w:t>59</w:t>
      </w:r>
      <w:r>
        <w:rPr>
          <w:rFonts w:ascii="宋体" w:hAnsi="宋体"/>
          <w:sz w:val="28"/>
          <w:szCs w:val="28"/>
        </w:rPr>
        <w:fldChar w:fldCharType="end"/>
      </w:r>
      <w:r>
        <w:rPr>
          <w:rFonts w:ascii="宋体" w:hAnsi="宋体"/>
          <w:sz w:val="28"/>
          <w:szCs w:val="28"/>
        </w:rPr>
        <w:fldChar w:fldCharType="end"/>
      </w:r>
    </w:p>
    <w:p w14:paraId="14D9CE37">
      <w:pPr>
        <w:pStyle w:val="25"/>
        <w:tabs>
          <w:tab w:val="right" w:leader="dot" w:pos="8296"/>
        </w:tabs>
        <w:rPr>
          <w:rFonts w:ascii="宋体" w:hAnsi="宋体"/>
          <w:smallCaps w:val="0"/>
          <w:sz w:val="28"/>
          <w:szCs w:val="28"/>
        </w:rPr>
      </w:pPr>
      <w:r>
        <w:fldChar w:fldCharType="begin"/>
      </w:r>
      <w:r>
        <w:instrText xml:space="preserve"> HYPERLINK \l "_Toc71894929" </w:instrText>
      </w:r>
      <w:r>
        <w:fldChar w:fldCharType="separate"/>
      </w:r>
      <w:r>
        <w:rPr>
          <w:rStyle w:val="40"/>
          <w:rFonts w:ascii="宋体" w:hAnsi="宋体"/>
          <w:color w:val="auto"/>
          <w:kern w:val="3"/>
          <w:sz w:val="28"/>
          <w:szCs w:val="28"/>
        </w:rPr>
        <w:t xml:space="preserve">5.2.1 </w:t>
      </w:r>
      <w:r>
        <w:rPr>
          <w:rStyle w:val="40"/>
          <w:rFonts w:hint="eastAsia" w:ascii="宋体" w:hAnsi="宋体"/>
          <w:color w:val="auto"/>
          <w:kern w:val="3"/>
          <w:sz w:val="28"/>
          <w:szCs w:val="28"/>
        </w:rPr>
        <w:t>火灾爆炸致因及危害分析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_Toc71894929 \h </w:instrText>
      </w:r>
      <w:r>
        <w:rPr>
          <w:rFonts w:ascii="宋体" w:hAnsi="宋体"/>
          <w:sz w:val="28"/>
          <w:szCs w:val="28"/>
        </w:rPr>
        <w:fldChar w:fldCharType="separate"/>
      </w:r>
      <w:r>
        <w:rPr>
          <w:rFonts w:ascii="宋体" w:hAnsi="宋体"/>
          <w:sz w:val="28"/>
          <w:szCs w:val="28"/>
        </w:rPr>
        <w:t>59</w:t>
      </w:r>
      <w:r>
        <w:rPr>
          <w:rFonts w:ascii="宋体" w:hAnsi="宋体"/>
          <w:sz w:val="28"/>
          <w:szCs w:val="28"/>
        </w:rPr>
        <w:fldChar w:fldCharType="end"/>
      </w:r>
      <w:r>
        <w:rPr>
          <w:rFonts w:ascii="宋体" w:hAnsi="宋体"/>
          <w:sz w:val="28"/>
          <w:szCs w:val="28"/>
        </w:rPr>
        <w:fldChar w:fldCharType="end"/>
      </w:r>
    </w:p>
    <w:p w14:paraId="1D4C3337">
      <w:pPr>
        <w:pStyle w:val="25"/>
        <w:tabs>
          <w:tab w:val="right" w:leader="dot" w:pos="8296"/>
        </w:tabs>
        <w:rPr>
          <w:rFonts w:ascii="宋体" w:hAnsi="宋体"/>
          <w:smallCaps w:val="0"/>
          <w:sz w:val="28"/>
          <w:szCs w:val="28"/>
        </w:rPr>
      </w:pPr>
      <w:r>
        <w:fldChar w:fldCharType="begin"/>
      </w:r>
      <w:r>
        <w:instrText xml:space="preserve"> HYPERLINK \l "_Toc71894930" </w:instrText>
      </w:r>
      <w:r>
        <w:fldChar w:fldCharType="separate"/>
      </w:r>
      <w:r>
        <w:rPr>
          <w:rStyle w:val="40"/>
          <w:rFonts w:ascii="宋体" w:hAnsi="宋体"/>
          <w:color w:val="auto"/>
          <w:kern w:val="3"/>
          <w:sz w:val="28"/>
          <w:szCs w:val="28"/>
        </w:rPr>
        <w:t>5.2.2</w:t>
      </w:r>
      <w:r>
        <w:rPr>
          <w:rStyle w:val="40"/>
          <w:rFonts w:hint="eastAsia" w:ascii="宋体" w:hAnsi="宋体"/>
          <w:color w:val="auto"/>
          <w:kern w:val="3"/>
          <w:sz w:val="28"/>
          <w:szCs w:val="28"/>
        </w:rPr>
        <w:t>火灾爆炸事故树分析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_Toc71894930 \h </w:instrText>
      </w:r>
      <w:r>
        <w:rPr>
          <w:rFonts w:ascii="宋体" w:hAnsi="宋体"/>
          <w:sz w:val="28"/>
          <w:szCs w:val="28"/>
        </w:rPr>
        <w:fldChar w:fldCharType="separate"/>
      </w:r>
      <w:r>
        <w:rPr>
          <w:rFonts w:ascii="宋体" w:hAnsi="宋体"/>
          <w:sz w:val="28"/>
          <w:szCs w:val="28"/>
        </w:rPr>
        <w:t>65</w:t>
      </w:r>
      <w:r>
        <w:rPr>
          <w:rFonts w:ascii="宋体" w:hAnsi="宋体"/>
          <w:sz w:val="28"/>
          <w:szCs w:val="28"/>
        </w:rPr>
        <w:fldChar w:fldCharType="end"/>
      </w:r>
      <w:r>
        <w:rPr>
          <w:rFonts w:ascii="宋体" w:hAnsi="宋体"/>
          <w:sz w:val="28"/>
          <w:szCs w:val="28"/>
        </w:rPr>
        <w:fldChar w:fldCharType="end"/>
      </w:r>
    </w:p>
    <w:p w14:paraId="36C3DC0A">
      <w:pPr>
        <w:pStyle w:val="25"/>
        <w:tabs>
          <w:tab w:val="right" w:leader="dot" w:pos="8296"/>
        </w:tabs>
        <w:rPr>
          <w:rFonts w:ascii="宋体" w:hAnsi="宋体"/>
          <w:smallCaps w:val="0"/>
          <w:sz w:val="28"/>
          <w:szCs w:val="28"/>
        </w:rPr>
      </w:pPr>
      <w:r>
        <w:fldChar w:fldCharType="begin"/>
      </w:r>
      <w:r>
        <w:instrText xml:space="preserve"> HYPERLINK \l "_Toc71894931" </w:instrText>
      </w:r>
      <w:r>
        <w:fldChar w:fldCharType="separate"/>
      </w:r>
      <w:r>
        <w:rPr>
          <w:rStyle w:val="40"/>
          <w:rFonts w:ascii="宋体" w:hAnsi="宋体"/>
          <w:color w:val="auto"/>
          <w:kern w:val="3"/>
          <w:sz w:val="28"/>
          <w:szCs w:val="28"/>
        </w:rPr>
        <w:t xml:space="preserve">5.3 </w:t>
      </w:r>
      <w:r>
        <w:rPr>
          <w:rStyle w:val="40"/>
          <w:rFonts w:hint="eastAsia" w:ascii="宋体" w:hAnsi="宋体"/>
          <w:color w:val="auto"/>
          <w:kern w:val="3"/>
          <w:sz w:val="28"/>
          <w:szCs w:val="28"/>
        </w:rPr>
        <w:t>事故案例分析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_Toc71894931 \h </w:instrText>
      </w:r>
      <w:r>
        <w:rPr>
          <w:rFonts w:ascii="宋体" w:hAnsi="宋体"/>
          <w:sz w:val="28"/>
          <w:szCs w:val="28"/>
        </w:rPr>
        <w:fldChar w:fldCharType="separate"/>
      </w:r>
      <w:r>
        <w:rPr>
          <w:rFonts w:ascii="宋体" w:hAnsi="宋体"/>
          <w:sz w:val="28"/>
          <w:szCs w:val="28"/>
        </w:rPr>
        <w:t>68</w:t>
      </w:r>
      <w:r>
        <w:rPr>
          <w:rFonts w:ascii="宋体" w:hAnsi="宋体"/>
          <w:sz w:val="28"/>
          <w:szCs w:val="28"/>
        </w:rPr>
        <w:fldChar w:fldCharType="end"/>
      </w:r>
      <w:r>
        <w:rPr>
          <w:rFonts w:ascii="宋体" w:hAnsi="宋体"/>
          <w:sz w:val="28"/>
          <w:szCs w:val="28"/>
        </w:rPr>
        <w:fldChar w:fldCharType="end"/>
      </w:r>
    </w:p>
    <w:p w14:paraId="7D7B93F0">
      <w:pPr>
        <w:pStyle w:val="25"/>
        <w:tabs>
          <w:tab w:val="right" w:leader="dot" w:pos="8296"/>
        </w:tabs>
        <w:rPr>
          <w:rFonts w:ascii="宋体" w:hAnsi="宋体"/>
          <w:smallCaps w:val="0"/>
          <w:sz w:val="28"/>
          <w:szCs w:val="28"/>
        </w:rPr>
      </w:pPr>
      <w:r>
        <w:fldChar w:fldCharType="begin"/>
      </w:r>
      <w:r>
        <w:instrText xml:space="preserve"> HYPERLINK \l "_Toc71894932" </w:instrText>
      </w:r>
      <w:r>
        <w:fldChar w:fldCharType="separate"/>
      </w:r>
      <w:r>
        <w:rPr>
          <w:rStyle w:val="40"/>
          <w:rFonts w:ascii="宋体" w:hAnsi="宋体"/>
          <w:color w:val="auto"/>
          <w:kern w:val="3"/>
          <w:sz w:val="28"/>
          <w:szCs w:val="28"/>
        </w:rPr>
        <w:t xml:space="preserve">5.4 </w:t>
      </w:r>
      <w:r>
        <w:rPr>
          <w:rStyle w:val="40"/>
          <w:rFonts w:hint="eastAsia" w:ascii="宋体" w:hAnsi="宋体"/>
          <w:color w:val="auto"/>
          <w:kern w:val="3"/>
          <w:sz w:val="28"/>
          <w:szCs w:val="28"/>
        </w:rPr>
        <w:t>事故案例教训及启发</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_Toc71894932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25A6CCDF">
      <w:pPr>
        <w:pStyle w:val="25"/>
        <w:tabs>
          <w:tab w:val="right" w:leader="dot" w:pos="8296"/>
        </w:tabs>
        <w:rPr>
          <w:rFonts w:ascii="宋体" w:hAnsi="宋体"/>
          <w:smallCaps w:val="0"/>
          <w:sz w:val="28"/>
          <w:szCs w:val="28"/>
        </w:rPr>
      </w:pPr>
      <w:r>
        <w:fldChar w:fldCharType="begin"/>
      </w:r>
      <w:r>
        <w:instrText xml:space="preserve"> HYPERLINK \l "_Toc71894933"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6</w:t>
      </w:r>
      <w:r>
        <w:rPr>
          <w:rStyle w:val="40"/>
          <w:rFonts w:hint="eastAsia" w:ascii="宋体" w:hAnsi="宋体"/>
          <w:color w:val="auto"/>
          <w:kern w:val="3"/>
          <w:sz w:val="28"/>
          <w:szCs w:val="28"/>
        </w:rPr>
        <w:t>章安全生产条件的分析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_Toc71894933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3F07ABF5">
      <w:pPr>
        <w:pStyle w:val="25"/>
        <w:tabs>
          <w:tab w:val="right" w:leader="dot" w:pos="8296"/>
        </w:tabs>
        <w:rPr>
          <w:rFonts w:ascii="宋体" w:hAnsi="宋体"/>
          <w:smallCaps w:val="0"/>
          <w:sz w:val="28"/>
          <w:szCs w:val="28"/>
        </w:rPr>
      </w:pPr>
      <w:r>
        <w:fldChar w:fldCharType="begin"/>
      </w:r>
      <w:r>
        <w:instrText xml:space="preserve"> HYPERLINK \l "_Toc71894934" </w:instrText>
      </w:r>
      <w:r>
        <w:fldChar w:fldCharType="separate"/>
      </w:r>
      <w:r>
        <w:rPr>
          <w:rStyle w:val="40"/>
          <w:rFonts w:ascii="宋体" w:hAnsi="宋体"/>
          <w:color w:val="auto"/>
          <w:kern w:val="3"/>
          <w:sz w:val="28"/>
          <w:szCs w:val="28"/>
        </w:rPr>
        <w:t>6.1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_Toc71894934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5B97FD19">
      <w:pPr>
        <w:pStyle w:val="25"/>
        <w:tabs>
          <w:tab w:val="right" w:leader="dot" w:pos="8296"/>
        </w:tabs>
        <w:rPr>
          <w:rFonts w:ascii="宋体" w:hAnsi="宋体"/>
          <w:smallCaps w:val="0"/>
          <w:sz w:val="28"/>
          <w:szCs w:val="28"/>
        </w:rPr>
      </w:pPr>
      <w:r>
        <w:fldChar w:fldCharType="begin"/>
      </w:r>
      <w:r>
        <w:instrText xml:space="preserve"> HYPERLINK \l "_Toc71894935" </w:instrText>
      </w:r>
      <w:r>
        <w:fldChar w:fldCharType="separate"/>
      </w:r>
      <w:r>
        <w:rPr>
          <w:rStyle w:val="40"/>
          <w:rFonts w:ascii="宋体" w:hAnsi="宋体"/>
          <w:color w:val="auto"/>
          <w:kern w:val="3"/>
          <w:sz w:val="28"/>
          <w:szCs w:val="28"/>
        </w:rPr>
        <w:t>6.1.1</w:t>
      </w:r>
      <w:r>
        <w:rPr>
          <w:rStyle w:val="40"/>
          <w:rFonts w:hint="eastAsia" w:ascii="宋体" w:hAnsi="宋体"/>
          <w:color w:val="auto"/>
          <w:kern w:val="3"/>
          <w:sz w:val="28"/>
          <w:szCs w:val="28"/>
        </w:rPr>
        <w:t>评价项目的危险、有害因素与周边环境的相互影响分析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_Toc71894935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609B9C96">
      <w:pPr>
        <w:pStyle w:val="25"/>
        <w:tabs>
          <w:tab w:val="right" w:leader="dot" w:pos="8296"/>
        </w:tabs>
        <w:rPr>
          <w:rFonts w:ascii="宋体" w:hAnsi="宋体"/>
          <w:smallCaps w:val="0"/>
          <w:sz w:val="28"/>
          <w:szCs w:val="28"/>
        </w:rPr>
      </w:pPr>
      <w:r>
        <w:fldChar w:fldCharType="begin"/>
      </w:r>
      <w:r>
        <w:instrText xml:space="preserve"> HYPERLINK \l "_Toc71894936" </w:instrText>
      </w:r>
      <w:r>
        <w:fldChar w:fldCharType="separate"/>
      </w:r>
      <w:r>
        <w:rPr>
          <w:rStyle w:val="40"/>
          <w:rFonts w:ascii="宋体" w:hAnsi="宋体"/>
          <w:color w:val="auto"/>
          <w:kern w:val="3"/>
          <w:sz w:val="28"/>
          <w:szCs w:val="28"/>
        </w:rPr>
        <w:t>6.1.2</w:t>
      </w:r>
      <w:r>
        <w:rPr>
          <w:rStyle w:val="40"/>
          <w:rFonts w:hint="eastAsia" w:ascii="宋体" w:hAnsi="宋体"/>
          <w:color w:val="auto"/>
          <w:kern w:val="3"/>
          <w:sz w:val="28"/>
          <w:szCs w:val="28"/>
        </w:rPr>
        <w:t>自然条件对评价项目的影响分析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_Toc71894936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31D5323F">
      <w:pPr>
        <w:pStyle w:val="25"/>
        <w:tabs>
          <w:tab w:val="right" w:leader="dot" w:pos="8296"/>
        </w:tabs>
        <w:rPr>
          <w:rFonts w:ascii="宋体" w:hAnsi="宋体"/>
          <w:smallCaps w:val="0"/>
          <w:sz w:val="28"/>
          <w:szCs w:val="28"/>
        </w:rPr>
      </w:pPr>
      <w:r>
        <w:fldChar w:fldCharType="begin"/>
      </w:r>
      <w:r>
        <w:instrText xml:space="preserve"> HYPERLINK \l "_Toc71894937" </w:instrText>
      </w:r>
      <w:r>
        <w:fldChar w:fldCharType="separate"/>
      </w:r>
      <w:r>
        <w:rPr>
          <w:rStyle w:val="40"/>
          <w:rFonts w:ascii="宋体" w:hAnsi="宋体"/>
          <w:color w:val="auto"/>
          <w:kern w:val="3"/>
          <w:sz w:val="28"/>
          <w:szCs w:val="28"/>
        </w:rPr>
        <w:t>6.1.3</w:t>
      </w:r>
      <w:r>
        <w:rPr>
          <w:rStyle w:val="40"/>
          <w:rFonts w:hint="eastAsia" w:ascii="宋体" w:hAnsi="宋体"/>
          <w:color w:val="auto"/>
          <w:kern w:val="3"/>
          <w:sz w:val="28"/>
          <w:szCs w:val="28"/>
        </w:rPr>
        <w:t>周边环境影响</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_Toc71894937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0285AE6B">
      <w:pPr>
        <w:pStyle w:val="25"/>
        <w:tabs>
          <w:tab w:val="right" w:leader="dot" w:pos="8296"/>
        </w:tabs>
        <w:rPr>
          <w:rFonts w:ascii="宋体" w:hAnsi="宋体"/>
          <w:smallCaps w:val="0"/>
          <w:sz w:val="28"/>
          <w:szCs w:val="28"/>
        </w:rPr>
      </w:pPr>
      <w:r>
        <w:fldChar w:fldCharType="begin"/>
      </w:r>
      <w:r>
        <w:instrText xml:space="preserve"> HYPERLINK \l "_Toc71894938" </w:instrText>
      </w:r>
      <w:r>
        <w:fldChar w:fldCharType="separate"/>
      </w:r>
      <w:r>
        <w:rPr>
          <w:rStyle w:val="40"/>
          <w:rFonts w:ascii="宋体" w:hAnsi="宋体"/>
          <w:color w:val="auto"/>
          <w:kern w:val="3"/>
          <w:sz w:val="28"/>
          <w:szCs w:val="28"/>
        </w:rPr>
        <w:t>6.1.4</w:t>
      </w:r>
      <w:r>
        <w:rPr>
          <w:rStyle w:val="40"/>
          <w:rFonts w:hint="eastAsia" w:ascii="宋体" w:hAnsi="宋体"/>
          <w:color w:val="auto"/>
          <w:kern w:val="3"/>
          <w:sz w:val="28"/>
          <w:szCs w:val="28"/>
        </w:rPr>
        <w:t>站址选择的符合性评价</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_Toc71894938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7E377D0A">
      <w:pPr>
        <w:pStyle w:val="25"/>
        <w:tabs>
          <w:tab w:val="right" w:leader="dot" w:pos="8296"/>
        </w:tabs>
        <w:rPr>
          <w:rFonts w:ascii="宋体" w:hAnsi="宋体"/>
          <w:smallCaps w:val="0"/>
          <w:sz w:val="28"/>
          <w:szCs w:val="28"/>
        </w:rPr>
      </w:pPr>
      <w:r>
        <w:fldChar w:fldCharType="begin"/>
      </w:r>
      <w:r>
        <w:instrText xml:space="preserve"> HYPERLINK \l "_Toc71894939" </w:instrText>
      </w:r>
      <w:r>
        <w:fldChar w:fldCharType="separate"/>
      </w:r>
      <w:r>
        <w:rPr>
          <w:rStyle w:val="40"/>
          <w:rFonts w:ascii="宋体" w:hAnsi="宋体"/>
          <w:color w:val="auto"/>
          <w:kern w:val="3"/>
          <w:sz w:val="28"/>
          <w:szCs w:val="28"/>
        </w:rPr>
        <w:t>6.1.5</w:t>
      </w:r>
      <w:r>
        <w:rPr>
          <w:rStyle w:val="40"/>
          <w:rFonts w:hint="eastAsia" w:ascii="宋体" w:hAnsi="宋体"/>
          <w:color w:val="auto"/>
          <w:kern w:val="3"/>
          <w:sz w:val="28"/>
          <w:szCs w:val="28"/>
        </w:rPr>
        <w:t>站外建、构筑物防火距离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_Toc71894939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778980D8">
      <w:pPr>
        <w:pStyle w:val="25"/>
        <w:tabs>
          <w:tab w:val="right" w:leader="dot" w:pos="8296"/>
        </w:tabs>
        <w:rPr>
          <w:rFonts w:ascii="宋体" w:hAnsi="宋体"/>
          <w:smallCaps w:val="0"/>
          <w:sz w:val="28"/>
          <w:szCs w:val="28"/>
        </w:rPr>
      </w:pPr>
      <w:r>
        <w:fldChar w:fldCharType="begin"/>
      </w:r>
      <w:r>
        <w:instrText xml:space="preserve"> HYPERLINK \l "_Toc71894940" </w:instrText>
      </w:r>
      <w:r>
        <w:fldChar w:fldCharType="separate"/>
      </w:r>
      <w:r>
        <w:rPr>
          <w:rStyle w:val="40"/>
          <w:rFonts w:ascii="宋体" w:hAnsi="宋体"/>
          <w:color w:val="auto"/>
          <w:kern w:val="3"/>
          <w:sz w:val="28"/>
          <w:szCs w:val="28"/>
        </w:rPr>
        <w:t>6.1.6</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_Toc71894940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34285FFD">
      <w:pPr>
        <w:pStyle w:val="25"/>
        <w:tabs>
          <w:tab w:val="right" w:leader="dot" w:pos="8296"/>
        </w:tabs>
        <w:rPr>
          <w:rFonts w:ascii="宋体" w:hAnsi="宋体"/>
          <w:smallCaps w:val="0"/>
          <w:sz w:val="28"/>
          <w:szCs w:val="28"/>
        </w:rPr>
      </w:pPr>
      <w:r>
        <w:fldChar w:fldCharType="begin"/>
      </w:r>
      <w:r>
        <w:instrText xml:space="preserve"> HYPERLINK \l "_Toc71894941" </w:instrText>
      </w:r>
      <w:r>
        <w:fldChar w:fldCharType="separate"/>
      </w:r>
      <w:r>
        <w:rPr>
          <w:rStyle w:val="40"/>
          <w:rFonts w:ascii="宋体" w:hAnsi="宋体"/>
          <w:color w:val="auto"/>
          <w:kern w:val="3"/>
          <w:sz w:val="28"/>
          <w:szCs w:val="28"/>
        </w:rPr>
        <w:t>6.2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_Toc71894941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18DBE8E9">
      <w:pPr>
        <w:pStyle w:val="25"/>
        <w:tabs>
          <w:tab w:val="right" w:leader="dot" w:pos="8296"/>
        </w:tabs>
        <w:rPr>
          <w:rFonts w:ascii="宋体" w:hAnsi="宋体"/>
          <w:smallCaps w:val="0"/>
          <w:sz w:val="28"/>
          <w:szCs w:val="28"/>
        </w:rPr>
      </w:pPr>
      <w:r>
        <w:fldChar w:fldCharType="begin"/>
      </w:r>
      <w:r>
        <w:instrText xml:space="preserve"> HYPERLINK \l "_Toc71894942" </w:instrText>
      </w:r>
      <w:r>
        <w:fldChar w:fldCharType="separate"/>
      </w:r>
      <w:r>
        <w:rPr>
          <w:rStyle w:val="40"/>
          <w:rFonts w:ascii="宋体" w:hAnsi="宋体"/>
          <w:color w:val="auto"/>
          <w:kern w:val="3"/>
          <w:sz w:val="28"/>
          <w:szCs w:val="28"/>
        </w:rPr>
        <w:t>6.2.1</w:t>
      </w:r>
      <w:r>
        <w:rPr>
          <w:rStyle w:val="40"/>
          <w:rFonts w:hint="eastAsia" w:ascii="宋体" w:hAnsi="宋体"/>
          <w:color w:val="auto"/>
          <w:kern w:val="3"/>
          <w:sz w:val="28"/>
          <w:szCs w:val="28"/>
        </w:rPr>
        <w:t>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_Toc71894942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6CFC4083">
      <w:pPr>
        <w:pStyle w:val="25"/>
        <w:tabs>
          <w:tab w:val="right" w:leader="dot" w:pos="8296"/>
        </w:tabs>
        <w:rPr>
          <w:rFonts w:ascii="宋体" w:hAnsi="宋体"/>
          <w:smallCaps w:val="0"/>
          <w:sz w:val="28"/>
          <w:szCs w:val="28"/>
        </w:rPr>
      </w:pPr>
      <w:r>
        <w:fldChar w:fldCharType="begin"/>
      </w:r>
      <w:r>
        <w:instrText xml:space="preserve"> HYPERLINK \l "_Toc71894943" </w:instrText>
      </w:r>
      <w:r>
        <w:fldChar w:fldCharType="separate"/>
      </w:r>
      <w:r>
        <w:rPr>
          <w:rStyle w:val="40"/>
          <w:rFonts w:ascii="宋体" w:hAnsi="宋体"/>
          <w:color w:val="auto"/>
          <w:kern w:val="3"/>
          <w:sz w:val="28"/>
          <w:szCs w:val="28"/>
        </w:rPr>
        <w:t>6.2.2</w:t>
      </w:r>
      <w:r>
        <w:rPr>
          <w:rStyle w:val="40"/>
          <w:rFonts w:hint="eastAsia" w:ascii="宋体" w:hAnsi="宋体"/>
          <w:color w:val="auto"/>
          <w:kern w:val="3"/>
          <w:sz w:val="28"/>
          <w:szCs w:val="28"/>
        </w:rPr>
        <w:t>站内设施防火距离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_Toc71894943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47FD18CE">
      <w:pPr>
        <w:pStyle w:val="25"/>
        <w:tabs>
          <w:tab w:val="right" w:leader="dot" w:pos="8296"/>
        </w:tabs>
        <w:rPr>
          <w:rFonts w:ascii="宋体" w:hAnsi="宋体"/>
          <w:smallCaps w:val="0"/>
          <w:sz w:val="28"/>
          <w:szCs w:val="28"/>
        </w:rPr>
      </w:pPr>
      <w:r>
        <w:fldChar w:fldCharType="begin"/>
      </w:r>
      <w:r>
        <w:instrText xml:space="preserve"> HYPERLINK \l "_Toc71894944" </w:instrText>
      </w:r>
      <w:r>
        <w:fldChar w:fldCharType="separate"/>
      </w:r>
      <w:r>
        <w:rPr>
          <w:rStyle w:val="40"/>
          <w:rFonts w:ascii="宋体" w:hAnsi="宋体"/>
          <w:color w:val="auto"/>
          <w:kern w:val="3"/>
          <w:sz w:val="28"/>
          <w:szCs w:val="28"/>
        </w:rPr>
        <w:t>6.2.3</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_Toc71894944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675AB6D7">
      <w:pPr>
        <w:pStyle w:val="25"/>
        <w:tabs>
          <w:tab w:val="right" w:leader="dot" w:pos="8296"/>
        </w:tabs>
        <w:rPr>
          <w:rFonts w:ascii="宋体" w:hAnsi="宋体"/>
          <w:smallCaps w:val="0"/>
          <w:sz w:val="28"/>
          <w:szCs w:val="28"/>
        </w:rPr>
      </w:pPr>
      <w:r>
        <w:fldChar w:fldCharType="begin"/>
      </w:r>
      <w:r>
        <w:instrText xml:space="preserve"> HYPERLINK \l "_Toc71894945" </w:instrText>
      </w:r>
      <w:r>
        <w:fldChar w:fldCharType="separate"/>
      </w:r>
      <w:r>
        <w:rPr>
          <w:rStyle w:val="40"/>
          <w:rFonts w:ascii="宋体" w:hAnsi="宋体"/>
          <w:color w:val="auto"/>
          <w:kern w:val="3"/>
          <w:sz w:val="28"/>
          <w:szCs w:val="28"/>
        </w:rPr>
        <w:t>6.3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_Toc71894945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6A572860">
      <w:pPr>
        <w:pStyle w:val="25"/>
        <w:tabs>
          <w:tab w:val="right" w:leader="dot" w:pos="8296"/>
        </w:tabs>
        <w:rPr>
          <w:rFonts w:ascii="宋体" w:hAnsi="宋体"/>
          <w:smallCaps w:val="0"/>
          <w:sz w:val="28"/>
          <w:szCs w:val="28"/>
        </w:rPr>
      </w:pPr>
      <w:r>
        <w:fldChar w:fldCharType="begin"/>
      </w:r>
      <w:r>
        <w:instrText xml:space="preserve"> HYPERLINK \l "_Toc71894946" </w:instrText>
      </w:r>
      <w:r>
        <w:fldChar w:fldCharType="separate"/>
      </w:r>
      <w:r>
        <w:rPr>
          <w:rStyle w:val="40"/>
          <w:rFonts w:ascii="宋体" w:hAnsi="宋体"/>
          <w:color w:val="auto"/>
          <w:kern w:val="3"/>
          <w:sz w:val="28"/>
          <w:szCs w:val="28"/>
        </w:rPr>
        <w:t>6.3.1</w:t>
      </w:r>
      <w:r>
        <w:rPr>
          <w:rStyle w:val="40"/>
          <w:rFonts w:hint="eastAsia" w:ascii="宋体" w:hAnsi="宋体"/>
          <w:color w:val="auto"/>
          <w:kern w:val="3"/>
          <w:sz w:val="28"/>
          <w:szCs w:val="28"/>
        </w:rPr>
        <w:t>工艺及设施系统安全检查表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_Toc71894946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7205D574">
      <w:pPr>
        <w:pStyle w:val="25"/>
        <w:tabs>
          <w:tab w:val="right" w:leader="dot" w:pos="8296"/>
        </w:tabs>
        <w:rPr>
          <w:rFonts w:ascii="宋体" w:hAnsi="宋体"/>
          <w:smallCaps w:val="0"/>
          <w:sz w:val="28"/>
          <w:szCs w:val="28"/>
        </w:rPr>
      </w:pPr>
      <w:r>
        <w:fldChar w:fldCharType="begin"/>
      </w:r>
      <w:r>
        <w:instrText xml:space="preserve"> HYPERLINK \l "_Toc71894947" </w:instrText>
      </w:r>
      <w:r>
        <w:fldChar w:fldCharType="separate"/>
      </w:r>
      <w:r>
        <w:rPr>
          <w:rStyle w:val="40"/>
          <w:rFonts w:ascii="宋体" w:hAnsi="宋体"/>
          <w:color w:val="auto"/>
          <w:kern w:val="3"/>
          <w:sz w:val="28"/>
          <w:szCs w:val="28"/>
        </w:rPr>
        <w:t>6.3.2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_Toc71894947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2C9A8A28">
      <w:pPr>
        <w:pStyle w:val="25"/>
        <w:tabs>
          <w:tab w:val="right" w:leader="dot" w:pos="8296"/>
        </w:tabs>
        <w:rPr>
          <w:rFonts w:ascii="宋体" w:hAnsi="宋体"/>
          <w:smallCaps w:val="0"/>
          <w:sz w:val="28"/>
          <w:szCs w:val="28"/>
        </w:rPr>
      </w:pPr>
      <w:r>
        <w:fldChar w:fldCharType="begin"/>
      </w:r>
      <w:r>
        <w:instrText xml:space="preserve"> HYPERLINK \l "_Toc71894948" </w:instrText>
      </w:r>
      <w:r>
        <w:fldChar w:fldCharType="separate"/>
      </w:r>
      <w:r>
        <w:rPr>
          <w:rStyle w:val="40"/>
          <w:rFonts w:ascii="宋体" w:hAnsi="宋体"/>
          <w:color w:val="auto"/>
          <w:kern w:val="3"/>
          <w:sz w:val="28"/>
          <w:szCs w:val="28"/>
        </w:rPr>
        <w:t>6.4</w:t>
      </w:r>
      <w:r>
        <w:rPr>
          <w:rStyle w:val="40"/>
          <w:rFonts w:hint="eastAsia" w:ascii="宋体" w:hAnsi="宋体"/>
          <w:color w:val="auto"/>
          <w:kern w:val="3"/>
          <w:sz w:val="28"/>
          <w:szCs w:val="28"/>
        </w:rPr>
        <w:t>消防设施及供排水评价单元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_Toc71894948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4B367F36">
      <w:pPr>
        <w:pStyle w:val="25"/>
        <w:tabs>
          <w:tab w:val="right" w:leader="dot" w:pos="8296"/>
        </w:tabs>
        <w:rPr>
          <w:rFonts w:ascii="宋体" w:hAnsi="宋体"/>
          <w:smallCaps w:val="0"/>
          <w:sz w:val="28"/>
          <w:szCs w:val="28"/>
        </w:rPr>
      </w:pPr>
      <w:r>
        <w:fldChar w:fldCharType="begin"/>
      </w:r>
      <w:r>
        <w:instrText xml:space="preserve"> HYPERLINK \l "_Toc71894949" </w:instrText>
      </w:r>
      <w:r>
        <w:fldChar w:fldCharType="separate"/>
      </w:r>
      <w:r>
        <w:rPr>
          <w:rStyle w:val="40"/>
          <w:rFonts w:ascii="宋体" w:hAnsi="宋体"/>
          <w:color w:val="auto"/>
          <w:kern w:val="3"/>
          <w:sz w:val="28"/>
          <w:szCs w:val="28"/>
        </w:rPr>
        <w:t>6.4.1</w:t>
      </w:r>
      <w:r>
        <w:rPr>
          <w:rStyle w:val="40"/>
          <w:rFonts w:hint="eastAsia" w:ascii="宋体" w:hAnsi="宋体"/>
          <w:color w:val="auto"/>
          <w:kern w:val="3"/>
          <w:sz w:val="28"/>
          <w:szCs w:val="28"/>
        </w:rPr>
        <w:t>消防设施及供排水安全检查表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_Toc71894949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511DB7D7">
      <w:pPr>
        <w:pStyle w:val="25"/>
        <w:tabs>
          <w:tab w:val="right" w:leader="dot" w:pos="8296"/>
        </w:tabs>
        <w:rPr>
          <w:rFonts w:ascii="宋体" w:hAnsi="宋体"/>
          <w:smallCaps w:val="0"/>
          <w:sz w:val="28"/>
          <w:szCs w:val="28"/>
        </w:rPr>
      </w:pPr>
      <w:r>
        <w:fldChar w:fldCharType="begin"/>
      </w:r>
      <w:r>
        <w:instrText xml:space="preserve"> HYPERLINK \l "_Toc71894950" </w:instrText>
      </w:r>
      <w:r>
        <w:fldChar w:fldCharType="separate"/>
      </w:r>
      <w:r>
        <w:rPr>
          <w:rStyle w:val="40"/>
          <w:rFonts w:ascii="宋体" w:hAnsi="宋体"/>
          <w:color w:val="auto"/>
          <w:kern w:val="3"/>
          <w:sz w:val="28"/>
          <w:szCs w:val="28"/>
        </w:rPr>
        <w:t>6.4.2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_Toc71894950 \h </w:instrText>
      </w:r>
      <w:r>
        <w:rPr>
          <w:rFonts w:ascii="宋体" w:hAnsi="宋体"/>
          <w:sz w:val="28"/>
          <w:szCs w:val="28"/>
        </w:rPr>
        <w:fldChar w:fldCharType="separate"/>
      </w:r>
      <w:r>
        <w:rPr>
          <w:rFonts w:ascii="宋体" w:hAnsi="宋体"/>
          <w:sz w:val="28"/>
          <w:szCs w:val="28"/>
        </w:rPr>
        <w:t>83</w:t>
      </w:r>
      <w:r>
        <w:rPr>
          <w:rFonts w:ascii="宋体" w:hAnsi="宋体"/>
          <w:sz w:val="28"/>
          <w:szCs w:val="28"/>
        </w:rPr>
        <w:fldChar w:fldCharType="end"/>
      </w:r>
      <w:r>
        <w:rPr>
          <w:rFonts w:ascii="宋体" w:hAnsi="宋体"/>
          <w:sz w:val="28"/>
          <w:szCs w:val="28"/>
        </w:rPr>
        <w:fldChar w:fldCharType="end"/>
      </w:r>
    </w:p>
    <w:p w14:paraId="42B41655">
      <w:pPr>
        <w:pStyle w:val="25"/>
        <w:tabs>
          <w:tab w:val="right" w:leader="dot" w:pos="8296"/>
        </w:tabs>
        <w:rPr>
          <w:rFonts w:ascii="宋体" w:hAnsi="宋体"/>
          <w:smallCaps w:val="0"/>
          <w:sz w:val="28"/>
          <w:szCs w:val="28"/>
        </w:rPr>
      </w:pPr>
      <w:r>
        <w:fldChar w:fldCharType="begin"/>
      </w:r>
      <w:r>
        <w:instrText xml:space="preserve"> HYPERLINK \l "_Toc71894951" </w:instrText>
      </w:r>
      <w:r>
        <w:fldChar w:fldCharType="separate"/>
      </w:r>
      <w:r>
        <w:rPr>
          <w:rStyle w:val="40"/>
          <w:rFonts w:ascii="宋体" w:hAnsi="宋体"/>
          <w:color w:val="auto"/>
          <w:kern w:val="3"/>
          <w:sz w:val="28"/>
          <w:szCs w:val="28"/>
        </w:rPr>
        <w:t>6.5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_Toc71894951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3543A9A4">
      <w:pPr>
        <w:pStyle w:val="25"/>
        <w:tabs>
          <w:tab w:val="right" w:leader="dot" w:pos="8296"/>
        </w:tabs>
        <w:rPr>
          <w:rFonts w:ascii="宋体" w:hAnsi="宋体"/>
          <w:smallCaps w:val="0"/>
          <w:sz w:val="28"/>
          <w:szCs w:val="28"/>
        </w:rPr>
      </w:pPr>
      <w:r>
        <w:fldChar w:fldCharType="begin"/>
      </w:r>
      <w:r>
        <w:instrText xml:space="preserve"> HYPERLINK \l "_Toc71894952" </w:instrText>
      </w:r>
      <w:r>
        <w:fldChar w:fldCharType="separate"/>
      </w:r>
      <w:r>
        <w:rPr>
          <w:rStyle w:val="40"/>
          <w:rFonts w:ascii="宋体" w:hAnsi="宋体"/>
          <w:color w:val="auto"/>
          <w:kern w:val="3"/>
          <w:sz w:val="28"/>
          <w:szCs w:val="28"/>
        </w:rPr>
        <w:t>6.5.1</w:t>
      </w:r>
      <w:r>
        <w:rPr>
          <w:rStyle w:val="40"/>
          <w:rFonts w:hint="eastAsia" w:ascii="宋体" w:hAnsi="宋体"/>
          <w:color w:val="auto"/>
          <w:kern w:val="3"/>
          <w:sz w:val="28"/>
          <w:szCs w:val="28"/>
        </w:rPr>
        <w:t>电气装置及防雷防静电装置评价单元安全检查表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_Toc71894952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7BDF6700">
      <w:pPr>
        <w:pStyle w:val="25"/>
        <w:tabs>
          <w:tab w:val="right" w:leader="dot" w:pos="8296"/>
        </w:tabs>
        <w:rPr>
          <w:rFonts w:ascii="宋体" w:hAnsi="宋体"/>
          <w:smallCaps w:val="0"/>
          <w:sz w:val="28"/>
          <w:szCs w:val="28"/>
        </w:rPr>
      </w:pPr>
      <w:r>
        <w:fldChar w:fldCharType="begin"/>
      </w:r>
      <w:r>
        <w:instrText xml:space="preserve"> HYPERLINK \l "_Toc71894953" </w:instrText>
      </w:r>
      <w:r>
        <w:fldChar w:fldCharType="separate"/>
      </w:r>
      <w:r>
        <w:rPr>
          <w:rStyle w:val="40"/>
          <w:rFonts w:ascii="宋体" w:hAnsi="宋体"/>
          <w:color w:val="auto"/>
          <w:kern w:val="3"/>
          <w:sz w:val="28"/>
          <w:szCs w:val="28"/>
        </w:rPr>
        <w:t>6.5.2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_Toc71894953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6A263D28">
      <w:pPr>
        <w:pStyle w:val="25"/>
        <w:tabs>
          <w:tab w:val="right" w:leader="dot" w:pos="8296"/>
        </w:tabs>
        <w:rPr>
          <w:rFonts w:ascii="宋体" w:hAnsi="宋体"/>
          <w:smallCaps w:val="0"/>
          <w:sz w:val="28"/>
          <w:szCs w:val="28"/>
        </w:rPr>
      </w:pPr>
      <w:r>
        <w:fldChar w:fldCharType="begin"/>
      </w:r>
      <w:r>
        <w:instrText xml:space="preserve"> HYPERLINK \l "_Toc71894954" </w:instrText>
      </w:r>
      <w:r>
        <w:fldChar w:fldCharType="separate"/>
      </w:r>
      <w:r>
        <w:rPr>
          <w:rStyle w:val="40"/>
          <w:rFonts w:ascii="宋体" w:hAnsi="宋体"/>
          <w:color w:val="auto"/>
          <w:kern w:val="3"/>
          <w:sz w:val="28"/>
          <w:szCs w:val="28"/>
        </w:rPr>
        <w:t>6.6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_Toc71894954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2FD5A260">
      <w:pPr>
        <w:pStyle w:val="25"/>
        <w:tabs>
          <w:tab w:val="right" w:leader="dot" w:pos="8296"/>
        </w:tabs>
        <w:rPr>
          <w:rFonts w:ascii="宋体" w:hAnsi="宋体"/>
          <w:smallCaps w:val="0"/>
          <w:sz w:val="28"/>
          <w:szCs w:val="28"/>
        </w:rPr>
      </w:pPr>
      <w:r>
        <w:fldChar w:fldCharType="begin"/>
      </w:r>
      <w:r>
        <w:instrText xml:space="preserve"> HYPERLINK \l "_Toc71894955" </w:instrText>
      </w:r>
      <w:r>
        <w:fldChar w:fldCharType="separate"/>
      </w:r>
      <w:r>
        <w:rPr>
          <w:rStyle w:val="40"/>
          <w:rFonts w:ascii="宋体" w:hAnsi="宋体"/>
          <w:color w:val="auto"/>
          <w:kern w:val="3"/>
          <w:sz w:val="28"/>
          <w:szCs w:val="28"/>
        </w:rPr>
        <w:t>6.6.1</w:t>
      </w:r>
      <w:r>
        <w:rPr>
          <w:rStyle w:val="40"/>
          <w:rFonts w:hint="eastAsia" w:ascii="宋体" w:hAnsi="宋体"/>
          <w:color w:val="auto"/>
          <w:kern w:val="3"/>
          <w:sz w:val="28"/>
          <w:szCs w:val="28"/>
        </w:rPr>
        <w:t>安全管理单元安全检查表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_Toc71894955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2B52723F">
      <w:pPr>
        <w:pStyle w:val="25"/>
        <w:tabs>
          <w:tab w:val="right" w:leader="dot" w:pos="8296"/>
        </w:tabs>
        <w:rPr>
          <w:rFonts w:ascii="宋体" w:hAnsi="宋体"/>
          <w:smallCaps w:val="0"/>
          <w:sz w:val="28"/>
          <w:szCs w:val="28"/>
        </w:rPr>
      </w:pPr>
      <w:r>
        <w:fldChar w:fldCharType="begin"/>
      </w:r>
      <w:r>
        <w:instrText xml:space="preserve"> HYPERLINK \l "_Toc71894956" </w:instrText>
      </w:r>
      <w:r>
        <w:fldChar w:fldCharType="separate"/>
      </w:r>
      <w:r>
        <w:rPr>
          <w:rStyle w:val="40"/>
          <w:rFonts w:ascii="宋体" w:hAnsi="宋体"/>
          <w:color w:val="auto"/>
          <w:kern w:val="3"/>
          <w:sz w:val="28"/>
          <w:szCs w:val="28"/>
        </w:rPr>
        <w:t>6.6.2</w:t>
      </w:r>
      <w:r>
        <w:rPr>
          <w:rStyle w:val="40"/>
          <w:rFonts w:hint="eastAsia" w:ascii="宋体" w:hAnsi="宋体"/>
          <w:color w:val="auto"/>
          <w:kern w:val="3"/>
          <w:sz w:val="28"/>
          <w:szCs w:val="28"/>
        </w:rPr>
        <w:t>单元小节</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_Toc71894956 \h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fldChar w:fldCharType="end"/>
      </w:r>
    </w:p>
    <w:p w14:paraId="7417DC23">
      <w:pPr>
        <w:pStyle w:val="25"/>
        <w:tabs>
          <w:tab w:val="right" w:leader="dot" w:pos="8296"/>
        </w:tabs>
        <w:rPr>
          <w:rFonts w:ascii="宋体" w:hAnsi="宋体"/>
          <w:smallCaps w:val="0"/>
          <w:sz w:val="28"/>
          <w:szCs w:val="28"/>
        </w:rPr>
      </w:pPr>
      <w:r>
        <w:fldChar w:fldCharType="begin"/>
      </w:r>
      <w:r>
        <w:instrText xml:space="preserve"> HYPERLINK \l "_Toc71894957" </w:instrText>
      </w:r>
      <w:r>
        <w:fldChar w:fldCharType="separate"/>
      </w:r>
      <w:r>
        <w:rPr>
          <w:rStyle w:val="40"/>
          <w:rFonts w:ascii="宋体" w:hAnsi="宋体"/>
          <w:color w:val="auto"/>
          <w:kern w:val="3"/>
          <w:sz w:val="28"/>
          <w:szCs w:val="28"/>
        </w:rPr>
        <w:t>6.7</w:t>
      </w:r>
      <w:r>
        <w:rPr>
          <w:rStyle w:val="40"/>
          <w:rFonts w:hint="eastAsia" w:ascii="宋体" w:hAnsi="宋体"/>
          <w:color w:val="auto"/>
          <w:kern w:val="3"/>
          <w:sz w:val="28"/>
          <w:szCs w:val="28"/>
        </w:rPr>
        <w:t>重大隐患判定及安全经营条件单元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_Toc71894957 \h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fldChar w:fldCharType="end"/>
      </w:r>
    </w:p>
    <w:p w14:paraId="74F15CB3">
      <w:pPr>
        <w:pStyle w:val="25"/>
        <w:tabs>
          <w:tab w:val="right" w:leader="dot" w:pos="8296"/>
        </w:tabs>
        <w:rPr>
          <w:rFonts w:ascii="宋体" w:hAnsi="宋体"/>
          <w:smallCaps w:val="0"/>
          <w:sz w:val="28"/>
          <w:szCs w:val="28"/>
        </w:rPr>
      </w:pPr>
      <w:r>
        <w:fldChar w:fldCharType="begin"/>
      </w:r>
      <w:r>
        <w:instrText xml:space="preserve"> HYPERLINK \l "_Toc71894958" </w:instrText>
      </w:r>
      <w:r>
        <w:fldChar w:fldCharType="separate"/>
      </w:r>
      <w:r>
        <w:rPr>
          <w:rStyle w:val="40"/>
          <w:rFonts w:ascii="宋体" w:hAnsi="宋体"/>
          <w:color w:val="auto"/>
          <w:kern w:val="3"/>
          <w:sz w:val="28"/>
          <w:szCs w:val="28"/>
        </w:rPr>
        <w:t>6.7.1</w:t>
      </w:r>
      <w:r>
        <w:rPr>
          <w:rStyle w:val="40"/>
          <w:rFonts w:hint="eastAsia" w:ascii="宋体" w:hAnsi="宋体"/>
          <w:color w:val="auto"/>
          <w:kern w:val="3"/>
          <w:sz w:val="28"/>
          <w:szCs w:val="28"/>
        </w:rPr>
        <w:t>安全经营条件及重大生产安全事故隐患检查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_Toc71894958 \h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fldChar w:fldCharType="end"/>
      </w:r>
    </w:p>
    <w:p w14:paraId="6B322EC6">
      <w:pPr>
        <w:pStyle w:val="25"/>
        <w:tabs>
          <w:tab w:val="right" w:leader="dot" w:pos="8296"/>
        </w:tabs>
        <w:rPr>
          <w:rFonts w:ascii="宋体" w:hAnsi="宋体"/>
          <w:smallCaps w:val="0"/>
          <w:sz w:val="28"/>
          <w:szCs w:val="28"/>
        </w:rPr>
      </w:pPr>
      <w:r>
        <w:fldChar w:fldCharType="begin"/>
      </w:r>
      <w:r>
        <w:instrText xml:space="preserve"> HYPERLINK \l "_Toc71894959" </w:instrText>
      </w:r>
      <w:r>
        <w:fldChar w:fldCharType="separate"/>
      </w:r>
      <w:r>
        <w:rPr>
          <w:rStyle w:val="40"/>
          <w:rFonts w:ascii="宋体" w:hAnsi="宋体"/>
          <w:color w:val="auto"/>
          <w:kern w:val="3"/>
          <w:sz w:val="28"/>
          <w:szCs w:val="28"/>
        </w:rPr>
        <w:t>6.7.2</w:t>
      </w:r>
      <w:r>
        <w:rPr>
          <w:rStyle w:val="40"/>
          <w:rFonts w:hint="eastAsia" w:ascii="宋体" w:hAnsi="宋体"/>
          <w:color w:val="auto"/>
          <w:kern w:val="3"/>
          <w:sz w:val="28"/>
          <w:szCs w:val="28"/>
        </w:rPr>
        <w:t>单元小结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_Toc71894959 \h </w:instrText>
      </w:r>
      <w:r>
        <w:rPr>
          <w:rFonts w:ascii="宋体" w:hAnsi="宋体"/>
          <w:sz w:val="28"/>
          <w:szCs w:val="28"/>
        </w:rPr>
        <w:fldChar w:fldCharType="separate"/>
      </w:r>
      <w:r>
        <w:rPr>
          <w:rFonts w:ascii="宋体" w:hAnsi="宋体"/>
          <w:sz w:val="28"/>
          <w:szCs w:val="28"/>
        </w:rPr>
        <w:t>95</w:t>
      </w:r>
      <w:r>
        <w:rPr>
          <w:rFonts w:ascii="宋体" w:hAnsi="宋体"/>
          <w:sz w:val="28"/>
          <w:szCs w:val="28"/>
        </w:rPr>
        <w:fldChar w:fldCharType="end"/>
      </w:r>
      <w:r>
        <w:rPr>
          <w:rFonts w:ascii="宋体" w:hAnsi="宋体"/>
          <w:sz w:val="28"/>
          <w:szCs w:val="28"/>
        </w:rPr>
        <w:fldChar w:fldCharType="end"/>
      </w:r>
    </w:p>
    <w:p w14:paraId="6AA315BE">
      <w:pPr>
        <w:pStyle w:val="25"/>
        <w:tabs>
          <w:tab w:val="right" w:leader="dot" w:pos="8296"/>
        </w:tabs>
        <w:rPr>
          <w:rFonts w:ascii="宋体" w:hAnsi="宋体"/>
          <w:smallCaps w:val="0"/>
          <w:sz w:val="28"/>
          <w:szCs w:val="28"/>
        </w:rPr>
      </w:pPr>
      <w:r>
        <w:fldChar w:fldCharType="begin"/>
      </w:r>
      <w:r>
        <w:instrText xml:space="preserve"> HYPERLINK \l "_Toc71894960"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7</w:t>
      </w:r>
      <w:r>
        <w:rPr>
          <w:rStyle w:val="40"/>
          <w:rFonts w:hint="eastAsia" w:ascii="宋体" w:hAnsi="宋体"/>
          <w:color w:val="auto"/>
          <w:kern w:val="3"/>
          <w:sz w:val="28"/>
          <w:szCs w:val="28"/>
        </w:rPr>
        <w:t>章存在问题及安全对策措施与建议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_Toc71894960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4F30F0B6">
      <w:pPr>
        <w:pStyle w:val="25"/>
        <w:tabs>
          <w:tab w:val="right" w:leader="dot" w:pos="8296"/>
        </w:tabs>
        <w:rPr>
          <w:rFonts w:ascii="宋体" w:hAnsi="宋体"/>
          <w:smallCaps w:val="0"/>
          <w:sz w:val="28"/>
          <w:szCs w:val="28"/>
        </w:rPr>
      </w:pPr>
      <w:r>
        <w:fldChar w:fldCharType="begin"/>
      </w:r>
      <w:r>
        <w:instrText xml:space="preserve"> HYPERLINK \l "_Toc71894961" </w:instrText>
      </w:r>
      <w:r>
        <w:fldChar w:fldCharType="separate"/>
      </w:r>
      <w:r>
        <w:rPr>
          <w:rStyle w:val="40"/>
          <w:rFonts w:ascii="宋体" w:hAnsi="宋体"/>
          <w:color w:val="auto"/>
          <w:kern w:val="3"/>
          <w:sz w:val="28"/>
          <w:szCs w:val="28"/>
        </w:rPr>
        <w:t>7.1</w:t>
      </w:r>
      <w:r>
        <w:rPr>
          <w:rStyle w:val="40"/>
          <w:rFonts w:hint="eastAsia" w:ascii="宋体" w:hAnsi="宋体"/>
          <w:color w:val="auto"/>
          <w:kern w:val="3"/>
          <w:sz w:val="28"/>
          <w:szCs w:val="28"/>
        </w:rPr>
        <w:t>存在问题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_Toc71894961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218F1B68">
      <w:pPr>
        <w:pStyle w:val="25"/>
        <w:tabs>
          <w:tab w:val="right" w:leader="dot" w:pos="8296"/>
        </w:tabs>
        <w:rPr>
          <w:rFonts w:ascii="宋体" w:hAnsi="宋体"/>
          <w:smallCaps w:val="0"/>
          <w:sz w:val="28"/>
          <w:szCs w:val="28"/>
        </w:rPr>
      </w:pPr>
      <w:r>
        <w:fldChar w:fldCharType="begin"/>
      </w:r>
      <w:r>
        <w:instrText xml:space="preserve"> HYPERLINK \l "_Toc71894962" </w:instrText>
      </w:r>
      <w:r>
        <w:fldChar w:fldCharType="separate"/>
      </w:r>
      <w:r>
        <w:rPr>
          <w:rStyle w:val="40"/>
          <w:rFonts w:ascii="宋体" w:hAnsi="宋体"/>
          <w:color w:val="auto"/>
          <w:kern w:val="3"/>
          <w:sz w:val="28"/>
          <w:szCs w:val="28"/>
        </w:rPr>
        <w:t>7.2</w:t>
      </w:r>
      <w:r>
        <w:rPr>
          <w:rStyle w:val="40"/>
          <w:rFonts w:hint="eastAsia" w:ascii="宋体" w:hAnsi="宋体"/>
          <w:color w:val="auto"/>
          <w:kern w:val="3"/>
          <w:sz w:val="28"/>
          <w:szCs w:val="28"/>
        </w:rPr>
        <w:t>整改情况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_Toc71894962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69BECD32">
      <w:pPr>
        <w:pStyle w:val="25"/>
        <w:tabs>
          <w:tab w:val="right" w:leader="dot" w:pos="8296"/>
        </w:tabs>
        <w:rPr>
          <w:rFonts w:ascii="宋体" w:hAnsi="宋体"/>
          <w:smallCaps w:val="0"/>
          <w:sz w:val="28"/>
          <w:szCs w:val="28"/>
        </w:rPr>
      </w:pPr>
      <w:r>
        <w:fldChar w:fldCharType="begin"/>
      </w:r>
      <w:r>
        <w:instrText xml:space="preserve"> HYPERLINK \l "_Toc71894963" </w:instrText>
      </w:r>
      <w:r>
        <w:fldChar w:fldCharType="separate"/>
      </w:r>
      <w:r>
        <w:rPr>
          <w:rStyle w:val="40"/>
          <w:rFonts w:ascii="宋体" w:hAnsi="宋体"/>
          <w:color w:val="auto"/>
          <w:kern w:val="3"/>
          <w:sz w:val="28"/>
          <w:szCs w:val="28"/>
        </w:rPr>
        <w:t xml:space="preserve">7.3 </w:t>
      </w:r>
      <w:r>
        <w:rPr>
          <w:rStyle w:val="40"/>
          <w:rFonts w:hint="eastAsia" w:ascii="宋体" w:hAnsi="宋体"/>
          <w:color w:val="auto"/>
          <w:kern w:val="3"/>
          <w:sz w:val="28"/>
          <w:szCs w:val="28"/>
        </w:rPr>
        <w:t>针对加油站主要危险有害因素提出的安全措施及建议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_Toc71894963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200A5495">
      <w:pPr>
        <w:pStyle w:val="25"/>
        <w:tabs>
          <w:tab w:val="right" w:leader="dot" w:pos="8296"/>
        </w:tabs>
        <w:rPr>
          <w:rFonts w:ascii="宋体" w:hAnsi="宋体"/>
          <w:smallCaps w:val="0"/>
          <w:sz w:val="28"/>
          <w:szCs w:val="28"/>
        </w:rPr>
      </w:pPr>
      <w:r>
        <w:fldChar w:fldCharType="begin"/>
      </w:r>
      <w:r>
        <w:instrText xml:space="preserve"> HYPERLINK \l "_Toc71894964" </w:instrText>
      </w:r>
      <w:r>
        <w:fldChar w:fldCharType="separate"/>
      </w:r>
      <w:r>
        <w:rPr>
          <w:rStyle w:val="40"/>
          <w:rFonts w:ascii="宋体" w:hAnsi="宋体"/>
          <w:color w:val="auto"/>
          <w:kern w:val="3"/>
          <w:sz w:val="28"/>
          <w:szCs w:val="28"/>
        </w:rPr>
        <w:t>7.3.1</w:t>
      </w:r>
      <w:r>
        <w:rPr>
          <w:rStyle w:val="40"/>
          <w:rFonts w:hint="eastAsia" w:ascii="宋体" w:hAnsi="宋体"/>
          <w:color w:val="auto"/>
          <w:kern w:val="3"/>
          <w:sz w:val="28"/>
          <w:szCs w:val="28"/>
        </w:rPr>
        <w:t>防火、防爆对策措施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_Toc71894964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59E8B074">
      <w:pPr>
        <w:pStyle w:val="25"/>
        <w:tabs>
          <w:tab w:val="right" w:leader="dot" w:pos="8296"/>
        </w:tabs>
        <w:rPr>
          <w:rFonts w:ascii="宋体" w:hAnsi="宋体"/>
          <w:smallCaps w:val="0"/>
          <w:sz w:val="28"/>
          <w:szCs w:val="28"/>
        </w:rPr>
      </w:pPr>
      <w:r>
        <w:fldChar w:fldCharType="begin"/>
      </w:r>
      <w:r>
        <w:instrText xml:space="preserve"> HYPERLINK \l "_Toc71894965" </w:instrText>
      </w:r>
      <w:r>
        <w:fldChar w:fldCharType="separate"/>
      </w:r>
      <w:r>
        <w:rPr>
          <w:rStyle w:val="40"/>
          <w:rFonts w:ascii="宋体" w:hAnsi="宋体"/>
          <w:color w:val="auto"/>
          <w:kern w:val="3"/>
          <w:sz w:val="28"/>
          <w:szCs w:val="28"/>
        </w:rPr>
        <w:t>7.3.2</w:t>
      </w:r>
      <w:r>
        <w:rPr>
          <w:rStyle w:val="40"/>
          <w:rFonts w:hint="eastAsia" w:ascii="宋体" w:hAnsi="宋体"/>
          <w:color w:val="auto"/>
          <w:kern w:val="3"/>
          <w:sz w:val="28"/>
          <w:szCs w:val="28"/>
        </w:rPr>
        <w:t>油品泄漏对策措施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_Toc71894965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79A4A2B8">
      <w:pPr>
        <w:pStyle w:val="25"/>
        <w:tabs>
          <w:tab w:val="right" w:leader="dot" w:pos="8296"/>
        </w:tabs>
        <w:rPr>
          <w:rFonts w:ascii="宋体" w:hAnsi="宋体"/>
          <w:smallCaps w:val="0"/>
          <w:sz w:val="28"/>
          <w:szCs w:val="28"/>
        </w:rPr>
      </w:pPr>
      <w:r>
        <w:fldChar w:fldCharType="begin"/>
      </w:r>
      <w:r>
        <w:instrText xml:space="preserve"> HYPERLINK \l "_Toc71894966" </w:instrText>
      </w:r>
      <w:r>
        <w:fldChar w:fldCharType="separate"/>
      </w:r>
      <w:r>
        <w:rPr>
          <w:rStyle w:val="40"/>
          <w:rFonts w:ascii="宋体" w:hAnsi="宋体"/>
          <w:color w:val="auto"/>
          <w:kern w:val="3"/>
          <w:sz w:val="28"/>
          <w:szCs w:val="28"/>
        </w:rPr>
        <w:t xml:space="preserve">7.3.3 </w:t>
      </w:r>
      <w:r>
        <w:rPr>
          <w:rStyle w:val="40"/>
          <w:rFonts w:hint="eastAsia" w:ascii="宋体" w:hAnsi="宋体"/>
          <w:color w:val="auto"/>
          <w:kern w:val="3"/>
          <w:sz w:val="28"/>
          <w:szCs w:val="28"/>
        </w:rPr>
        <w:t>防中毒窒息对策措施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_Toc71894966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2CA53CD1">
      <w:pPr>
        <w:pStyle w:val="25"/>
        <w:tabs>
          <w:tab w:val="right" w:leader="dot" w:pos="8296"/>
        </w:tabs>
        <w:rPr>
          <w:rFonts w:ascii="宋体" w:hAnsi="宋体"/>
          <w:smallCaps w:val="0"/>
          <w:sz w:val="28"/>
          <w:szCs w:val="28"/>
        </w:rPr>
      </w:pPr>
      <w:r>
        <w:fldChar w:fldCharType="begin"/>
      </w:r>
      <w:r>
        <w:instrText xml:space="preserve"> HYPERLINK \l "_Toc71894967" </w:instrText>
      </w:r>
      <w:r>
        <w:fldChar w:fldCharType="separate"/>
      </w:r>
      <w:r>
        <w:rPr>
          <w:rStyle w:val="40"/>
          <w:rFonts w:ascii="宋体" w:hAnsi="宋体"/>
          <w:color w:val="auto"/>
          <w:kern w:val="3"/>
          <w:sz w:val="28"/>
          <w:szCs w:val="28"/>
        </w:rPr>
        <w:t>7.3.4</w:t>
      </w:r>
      <w:r>
        <w:rPr>
          <w:rStyle w:val="40"/>
          <w:rFonts w:hint="eastAsia" w:ascii="宋体" w:hAnsi="宋体"/>
          <w:color w:val="auto"/>
          <w:kern w:val="3"/>
          <w:sz w:val="28"/>
          <w:szCs w:val="28"/>
        </w:rPr>
        <w:t>电气系统安全措施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_Toc71894967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12FC035D">
      <w:pPr>
        <w:pStyle w:val="25"/>
        <w:tabs>
          <w:tab w:val="right" w:leader="dot" w:pos="8296"/>
        </w:tabs>
        <w:rPr>
          <w:rFonts w:ascii="宋体" w:hAnsi="宋体"/>
          <w:smallCaps w:val="0"/>
          <w:sz w:val="28"/>
          <w:szCs w:val="28"/>
        </w:rPr>
      </w:pPr>
      <w:r>
        <w:fldChar w:fldCharType="begin"/>
      </w:r>
      <w:r>
        <w:instrText xml:space="preserve"> HYPERLINK \l "_Toc71894968" </w:instrText>
      </w:r>
      <w:r>
        <w:fldChar w:fldCharType="separate"/>
      </w:r>
      <w:r>
        <w:rPr>
          <w:rStyle w:val="40"/>
          <w:rFonts w:ascii="宋体" w:hAnsi="宋体"/>
          <w:color w:val="auto"/>
          <w:kern w:val="3"/>
          <w:sz w:val="28"/>
          <w:szCs w:val="28"/>
        </w:rPr>
        <w:t>7.3.5</w:t>
      </w:r>
      <w:r>
        <w:rPr>
          <w:rStyle w:val="40"/>
          <w:rFonts w:hint="eastAsia" w:ascii="宋体" w:hAnsi="宋体"/>
          <w:color w:val="auto"/>
          <w:kern w:val="3"/>
          <w:sz w:val="28"/>
          <w:szCs w:val="28"/>
        </w:rPr>
        <w:t>装置安全对策措施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_Toc71894968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05EDBE70">
      <w:pPr>
        <w:pStyle w:val="25"/>
        <w:tabs>
          <w:tab w:val="right" w:leader="dot" w:pos="8296"/>
        </w:tabs>
        <w:rPr>
          <w:rFonts w:ascii="宋体" w:hAnsi="宋体"/>
          <w:smallCaps w:val="0"/>
          <w:sz w:val="28"/>
          <w:szCs w:val="28"/>
        </w:rPr>
      </w:pPr>
      <w:r>
        <w:fldChar w:fldCharType="begin"/>
      </w:r>
      <w:r>
        <w:instrText xml:space="preserve"> HYPERLINK \l "_Toc71894969" </w:instrText>
      </w:r>
      <w:r>
        <w:fldChar w:fldCharType="separate"/>
      </w:r>
      <w:r>
        <w:rPr>
          <w:rStyle w:val="40"/>
          <w:rFonts w:ascii="宋体" w:hAnsi="宋体"/>
          <w:color w:val="auto"/>
          <w:kern w:val="3"/>
          <w:sz w:val="28"/>
          <w:szCs w:val="28"/>
        </w:rPr>
        <w:t>7.3.6</w:t>
      </w:r>
      <w:r>
        <w:rPr>
          <w:rStyle w:val="40"/>
          <w:rFonts w:hint="eastAsia" w:ascii="宋体" w:hAnsi="宋体"/>
          <w:color w:val="auto"/>
          <w:kern w:val="3"/>
          <w:sz w:val="28"/>
          <w:szCs w:val="28"/>
        </w:rPr>
        <w:t>防雷、防静电措施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_Toc71894969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5BFC4816">
      <w:pPr>
        <w:pStyle w:val="25"/>
        <w:tabs>
          <w:tab w:val="right" w:leader="dot" w:pos="8296"/>
        </w:tabs>
        <w:rPr>
          <w:rFonts w:ascii="宋体" w:hAnsi="宋体"/>
          <w:smallCaps w:val="0"/>
          <w:sz w:val="28"/>
          <w:szCs w:val="28"/>
        </w:rPr>
      </w:pPr>
      <w:r>
        <w:fldChar w:fldCharType="begin"/>
      </w:r>
      <w:r>
        <w:instrText xml:space="preserve"> HYPERLINK \l "_Toc71894970" </w:instrText>
      </w:r>
      <w:r>
        <w:fldChar w:fldCharType="separate"/>
      </w:r>
      <w:r>
        <w:rPr>
          <w:rStyle w:val="40"/>
          <w:rFonts w:ascii="宋体" w:hAnsi="宋体"/>
          <w:color w:val="auto"/>
          <w:kern w:val="3"/>
          <w:sz w:val="28"/>
          <w:szCs w:val="28"/>
        </w:rPr>
        <w:t>7.3.7</w:t>
      </w:r>
      <w:r>
        <w:rPr>
          <w:rStyle w:val="40"/>
          <w:rFonts w:hint="eastAsia" w:ascii="宋体" w:hAnsi="宋体"/>
          <w:color w:val="auto"/>
          <w:kern w:val="3"/>
          <w:sz w:val="28"/>
          <w:szCs w:val="28"/>
        </w:rPr>
        <w:t>防渗漏、溢满措施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_Toc71894970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32819A73">
      <w:pPr>
        <w:pStyle w:val="25"/>
        <w:tabs>
          <w:tab w:val="right" w:leader="dot" w:pos="8296"/>
        </w:tabs>
        <w:rPr>
          <w:rFonts w:ascii="宋体" w:hAnsi="宋体"/>
          <w:smallCaps w:val="0"/>
          <w:sz w:val="28"/>
          <w:szCs w:val="28"/>
        </w:rPr>
      </w:pPr>
      <w:r>
        <w:fldChar w:fldCharType="begin"/>
      </w:r>
      <w:r>
        <w:instrText xml:space="preserve"> HYPERLINK \l "_Toc71894971" </w:instrText>
      </w:r>
      <w:r>
        <w:fldChar w:fldCharType="separate"/>
      </w:r>
      <w:r>
        <w:rPr>
          <w:rStyle w:val="40"/>
          <w:rFonts w:ascii="宋体" w:hAnsi="宋体"/>
          <w:color w:val="auto"/>
          <w:kern w:val="3"/>
          <w:sz w:val="28"/>
          <w:szCs w:val="28"/>
        </w:rPr>
        <w:t>7.3.8</w:t>
      </w:r>
      <w:r>
        <w:rPr>
          <w:rStyle w:val="40"/>
          <w:rFonts w:hint="eastAsia" w:ascii="宋体" w:hAnsi="宋体"/>
          <w:color w:val="auto"/>
          <w:kern w:val="3"/>
          <w:sz w:val="28"/>
          <w:szCs w:val="28"/>
        </w:rPr>
        <w:t>防高处坠落措施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_Toc71894971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09B485EA">
      <w:pPr>
        <w:pStyle w:val="25"/>
        <w:tabs>
          <w:tab w:val="right" w:leader="dot" w:pos="8296"/>
        </w:tabs>
        <w:rPr>
          <w:rFonts w:ascii="宋体" w:hAnsi="宋体"/>
          <w:smallCaps w:val="0"/>
          <w:sz w:val="28"/>
          <w:szCs w:val="28"/>
        </w:rPr>
      </w:pPr>
      <w:r>
        <w:fldChar w:fldCharType="begin"/>
      </w:r>
      <w:r>
        <w:instrText xml:space="preserve"> HYPERLINK \l "_Toc71894972" </w:instrText>
      </w:r>
      <w:r>
        <w:fldChar w:fldCharType="separate"/>
      </w:r>
      <w:r>
        <w:rPr>
          <w:rStyle w:val="40"/>
          <w:rFonts w:ascii="宋体" w:hAnsi="宋体"/>
          <w:color w:val="auto"/>
          <w:kern w:val="3"/>
          <w:sz w:val="28"/>
          <w:szCs w:val="28"/>
        </w:rPr>
        <w:t>7.3.9</w:t>
      </w:r>
      <w:r>
        <w:rPr>
          <w:rStyle w:val="40"/>
          <w:rFonts w:hint="eastAsia" w:ascii="宋体" w:hAnsi="宋体"/>
          <w:color w:val="auto"/>
          <w:kern w:val="3"/>
          <w:sz w:val="28"/>
          <w:szCs w:val="28"/>
        </w:rPr>
        <w:t>防机械伤害措施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_Toc71894972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538EB044">
      <w:pPr>
        <w:pStyle w:val="25"/>
        <w:tabs>
          <w:tab w:val="right" w:leader="dot" w:pos="8296"/>
        </w:tabs>
        <w:rPr>
          <w:rFonts w:ascii="宋体" w:hAnsi="宋体"/>
          <w:smallCaps w:val="0"/>
          <w:sz w:val="28"/>
          <w:szCs w:val="28"/>
        </w:rPr>
      </w:pPr>
      <w:r>
        <w:fldChar w:fldCharType="begin"/>
      </w:r>
      <w:r>
        <w:instrText xml:space="preserve"> HYPERLINK \l "_Toc71894973" </w:instrText>
      </w:r>
      <w:r>
        <w:fldChar w:fldCharType="separate"/>
      </w:r>
      <w:r>
        <w:rPr>
          <w:rStyle w:val="40"/>
          <w:rFonts w:ascii="宋体" w:hAnsi="宋体"/>
          <w:color w:val="auto"/>
          <w:kern w:val="3"/>
          <w:sz w:val="28"/>
          <w:szCs w:val="28"/>
        </w:rPr>
        <w:t>7.3.10</w:t>
      </w:r>
      <w:r>
        <w:rPr>
          <w:rStyle w:val="40"/>
          <w:rFonts w:hint="eastAsia" w:ascii="宋体" w:hAnsi="宋体"/>
          <w:color w:val="auto"/>
          <w:kern w:val="3"/>
          <w:sz w:val="28"/>
          <w:szCs w:val="28"/>
        </w:rPr>
        <w:t>罐内作业安全措施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_Toc71894973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4FD810B7">
      <w:pPr>
        <w:pStyle w:val="25"/>
        <w:tabs>
          <w:tab w:val="right" w:leader="dot" w:pos="8296"/>
        </w:tabs>
        <w:rPr>
          <w:rFonts w:ascii="宋体" w:hAnsi="宋体"/>
          <w:smallCaps w:val="0"/>
          <w:sz w:val="28"/>
          <w:szCs w:val="28"/>
        </w:rPr>
      </w:pPr>
      <w:r>
        <w:fldChar w:fldCharType="begin"/>
      </w:r>
      <w:r>
        <w:instrText xml:space="preserve"> HYPERLINK \l "_Toc71894974" </w:instrText>
      </w:r>
      <w:r>
        <w:fldChar w:fldCharType="separate"/>
      </w:r>
      <w:r>
        <w:rPr>
          <w:rStyle w:val="40"/>
          <w:rFonts w:ascii="宋体" w:hAnsi="宋体"/>
          <w:color w:val="auto"/>
          <w:kern w:val="3"/>
          <w:sz w:val="28"/>
          <w:szCs w:val="28"/>
        </w:rPr>
        <w:t>7.3.11</w:t>
      </w:r>
      <w:r>
        <w:rPr>
          <w:rStyle w:val="40"/>
          <w:rFonts w:hint="eastAsia" w:ascii="宋体" w:hAnsi="宋体"/>
          <w:color w:val="auto"/>
          <w:kern w:val="3"/>
          <w:sz w:val="28"/>
          <w:szCs w:val="28"/>
        </w:rPr>
        <w:t>防起重伤害措施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_Toc71894974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30E807F6">
      <w:pPr>
        <w:pStyle w:val="25"/>
        <w:tabs>
          <w:tab w:val="right" w:leader="dot" w:pos="8296"/>
        </w:tabs>
        <w:rPr>
          <w:rFonts w:ascii="宋体" w:hAnsi="宋体"/>
          <w:smallCaps w:val="0"/>
          <w:sz w:val="28"/>
          <w:szCs w:val="28"/>
        </w:rPr>
      </w:pPr>
      <w:r>
        <w:fldChar w:fldCharType="begin"/>
      </w:r>
      <w:r>
        <w:instrText xml:space="preserve"> HYPERLINK \l "_Toc71894975" </w:instrText>
      </w:r>
      <w:r>
        <w:fldChar w:fldCharType="separate"/>
      </w:r>
      <w:r>
        <w:rPr>
          <w:rStyle w:val="40"/>
          <w:rFonts w:ascii="宋体" w:hAnsi="宋体"/>
          <w:color w:val="auto"/>
          <w:kern w:val="3"/>
          <w:sz w:val="28"/>
          <w:szCs w:val="28"/>
        </w:rPr>
        <w:t>7.3.12</w:t>
      </w:r>
      <w:r>
        <w:rPr>
          <w:rStyle w:val="40"/>
          <w:rFonts w:hint="eastAsia" w:ascii="宋体" w:hAnsi="宋体"/>
          <w:color w:val="auto"/>
          <w:kern w:val="3"/>
          <w:sz w:val="28"/>
          <w:szCs w:val="28"/>
        </w:rPr>
        <w:t>防烫伤措施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_Toc71894975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662E7856">
      <w:pPr>
        <w:pStyle w:val="25"/>
        <w:tabs>
          <w:tab w:val="right" w:leader="dot" w:pos="8296"/>
        </w:tabs>
        <w:rPr>
          <w:rFonts w:ascii="宋体" w:hAnsi="宋体"/>
          <w:smallCaps w:val="0"/>
          <w:sz w:val="28"/>
          <w:szCs w:val="28"/>
        </w:rPr>
      </w:pPr>
      <w:r>
        <w:fldChar w:fldCharType="begin"/>
      </w:r>
      <w:r>
        <w:instrText xml:space="preserve"> HYPERLINK \l "_Toc71894976" </w:instrText>
      </w:r>
      <w:r>
        <w:fldChar w:fldCharType="separate"/>
      </w:r>
      <w:r>
        <w:rPr>
          <w:rStyle w:val="40"/>
          <w:rFonts w:ascii="宋体" w:hAnsi="宋体"/>
          <w:color w:val="auto"/>
          <w:kern w:val="3"/>
          <w:sz w:val="28"/>
          <w:szCs w:val="28"/>
        </w:rPr>
        <w:t>7.3.13</w:t>
      </w:r>
      <w:r>
        <w:rPr>
          <w:rStyle w:val="40"/>
          <w:rFonts w:hint="eastAsia" w:ascii="宋体" w:hAnsi="宋体"/>
          <w:color w:val="auto"/>
          <w:kern w:val="3"/>
          <w:sz w:val="28"/>
          <w:szCs w:val="28"/>
        </w:rPr>
        <w:t>安全标志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_Toc71894976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782B67B5">
      <w:pPr>
        <w:pStyle w:val="25"/>
        <w:tabs>
          <w:tab w:val="right" w:leader="dot" w:pos="8296"/>
        </w:tabs>
        <w:rPr>
          <w:rFonts w:ascii="宋体" w:hAnsi="宋体"/>
          <w:smallCaps w:val="0"/>
          <w:sz w:val="28"/>
          <w:szCs w:val="28"/>
        </w:rPr>
      </w:pPr>
      <w:r>
        <w:fldChar w:fldCharType="begin"/>
      </w:r>
      <w:r>
        <w:instrText xml:space="preserve"> HYPERLINK \l "_Toc71894977" </w:instrText>
      </w:r>
      <w:r>
        <w:fldChar w:fldCharType="separate"/>
      </w:r>
      <w:r>
        <w:rPr>
          <w:rStyle w:val="40"/>
          <w:rFonts w:ascii="宋体" w:hAnsi="宋体"/>
          <w:color w:val="auto"/>
          <w:kern w:val="3"/>
          <w:sz w:val="28"/>
          <w:szCs w:val="28"/>
        </w:rPr>
        <w:t>7.3.14</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_Toc71894977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6885E160">
      <w:pPr>
        <w:pStyle w:val="25"/>
        <w:tabs>
          <w:tab w:val="right" w:leader="dot" w:pos="8296"/>
        </w:tabs>
        <w:rPr>
          <w:rFonts w:ascii="宋体" w:hAnsi="宋体"/>
          <w:smallCaps w:val="0"/>
          <w:sz w:val="28"/>
          <w:szCs w:val="28"/>
        </w:rPr>
      </w:pPr>
      <w:r>
        <w:fldChar w:fldCharType="begin"/>
      </w:r>
      <w:r>
        <w:instrText xml:space="preserve"> HYPERLINK \l "_Toc71894978" </w:instrText>
      </w:r>
      <w:r>
        <w:fldChar w:fldCharType="separate"/>
      </w:r>
      <w:r>
        <w:rPr>
          <w:rStyle w:val="40"/>
          <w:rFonts w:ascii="宋体" w:hAnsi="宋体"/>
          <w:color w:val="auto"/>
          <w:kern w:val="3"/>
          <w:sz w:val="28"/>
          <w:szCs w:val="28"/>
        </w:rPr>
        <w:t>7.3.15</w:t>
      </w:r>
      <w:r>
        <w:rPr>
          <w:rStyle w:val="40"/>
          <w:rFonts w:hint="eastAsia" w:ascii="宋体" w:hAnsi="宋体"/>
          <w:color w:val="auto"/>
          <w:kern w:val="3"/>
          <w:sz w:val="28"/>
          <w:szCs w:val="28"/>
        </w:rPr>
        <w:t>安全管理对策措施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_Toc71894978 \h </w:instrText>
      </w:r>
      <w:r>
        <w:rPr>
          <w:rFonts w:ascii="宋体" w:hAnsi="宋体"/>
          <w:sz w:val="28"/>
          <w:szCs w:val="28"/>
        </w:rPr>
        <w:fldChar w:fldCharType="separate"/>
      </w:r>
      <w:r>
        <w:rPr>
          <w:rFonts w:ascii="宋体" w:hAnsi="宋体"/>
          <w:sz w:val="28"/>
          <w:szCs w:val="28"/>
        </w:rPr>
        <w:t>104</w:t>
      </w:r>
      <w:r>
        <w:rPr>
          <w:rFonts w:ascii="宋体" w:hAnsi="宋体"/>
          <w:sz w:val="28"/>
          <w:szCs w:val="28"/>
        </w:rPr>
        <w:fldChar w:fldCharType="end"/>
      </w:r>
      <w:r>
        <w:rPr>
          <w:rFonts w:ascii="宋体" w:hAnsi="宋体"/>
          <w:sz w:val="28"/>
          <w:szCs w:val="28"/>
        </w:rPr>
        <w:fldChar w:fldCharType="end"/>
      </w:r>
    </w:p>
    <w:p w14:paraId="6F28A190">
      <w:pPr>
        <w:pStyle w:val="25"/>
        <w:tabs>
          <w:tab w:val="right" w:leader="dot" w:pos="8296"/>
        </w:tabs>
        <w:rPr>
          <w:rFonts w:ascii="宋体" w:hAnsi="宋体"/>
          <w:smallCaps w:val="0"/>
          <w:sz w:val="28"/>
          <w:szCs w:val="28"/>
        </w:rPr>
      </w:pPr>
      <w:r>
        <w:fldChar w:fldCharType="begin"/>
      </w:r>
      <w:r>
        <w:instrText xml:space="preserve"> HYPERLINK \l "_Toc71894979" </w:instrText>
      </w:r>
      <w:r>
        <w:fldChar w:fldCharType="separate"/>
      </w:r>
      <w:r>
        <w:rPr>
          <w:rStyle w:val="40"/>
          <w:rFonts w:ascii="宋体" w:hAnsi="宋体"/>
          <w:color w:val="auto"/>
          <w:kern w:val="3"/>
          <w:sz w:val="28"/>
          <w:szCs w:val="28"/>
        </w:rPr>
        <w:t>7.3.16</w:t>
      </w:r>
      <w:r>
        <w:rPr>
          <w:rStyle w:val="40"/>
          <w:rFonts w:hint="eastAsia" w:ascii="宋体" w:hAnsi="宋体"/>
          <w:color w:val="auto"/>
          <w:kern w:val="3"/>
          <w:sz w:val="28"/>
          <w:szCs w:val="28"/>
        </w:rPr>
        <w:t>其他建议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_Toc71894979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29536548">
      <w:pPr>
        <w:pStyle w:val="25"/>
        <w:tabs>
          <w:tab w:val="right" w:leader="dot" w:pos="8296"/>
        </w:tabs>
        <w:rPr>
          <w:rFonts w:ascii="宋体" w:hAnsi="宋体"/>
          <w:smallCaps w:val="0"/>
          <w:sz w:val="28"/>
          <w:szCs w:val="28"/>
        </w:rPr>
      </w:pPr>
      <w:r>
        <w:fldChar w:fldCharType="begin"/>
      </w:r>
      <w:r>
        <w:instrText xml:space="preserve"> HYPERLINK \l "_Toc71894980"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8</w:t>
      </w:r>
      <w:r>
        <w:rPr>
          <w:rStyle w:val="40"/>
          <w:rFonts w:hint="eastAsia" w:ascii="宋体" w:hAnsi="宋体"/>
          <w:color w:val="auto"/>
          <w:kern w:val="3"/>
          <w:sz w:val="28"/>
          <w:szCs w:val="28"/>
        </w:rPr>
        <w:t>章安全现状评价结论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_Toc71894980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42F58DCB">
      <w:pPr>
        <w:pStyle w:val="25"/>
        <w:tabs>
          <w:tab w:val="right" w:leader="dot" w:pos="8296"/>
        </w:tabs>
        <w:rPr>
          <w:rFonts w:ascii="宋体" w:hAnsi="宋体"/>
          <w:smallCaps w:val="0"/>
          <w:sz w:val="28"/>
          <w:szCs w:val="28"/>
        </w:rPr>
      </w:pPr>
      <w:r>
        <w:fldChar w:fldCharType="begin"/>
      </w:r>
      <w:r>
        <w:instrText xml:space="preserve"> HYPERLINK \l "_Toc71894981" </w:instrText>
      </w:r>
      <w:r>
        <w:fldChar w:fldCharType="separate"/>
      </w:r>
      <w:r>
        <w:rPr>
          <w:rStyle w:val="40"/>
          <w:rFonts w:ascii="宋体" w:hAnsi="宋体"/>
          <w:color w:val="auto"/>
          <w:kern w:val="3"/>
          <w:sz w:val="28"/>
          <w:szCs w:val="28"/>
        </w:rPr>
        <w:t>8.1</w:t>
      </w:r>
      <w:r>
        <w:rPr>
          <w:rStyle w:val="40"/>
          <w:rFonts w:hint="eastAsia" w:ascii="宋体" w:hAnsi="宋体"/>
          <w:color w:val="auto"/>
          <w:kern w:val="3"/>
          <w:sz w:val="28"/>
          <w:szCs w:val="28"/>
        </w:rPr>
        <w:t>加油站存在主要危险、有害因素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_Toc71894981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6CA32E81">
      <w:pPr>
        <w:pStyle w:val="25"/>
        <w:tabs>
          <w:tab w:val="right" w:leader="dot" w:pos="8296"/>
        </w:tabs>
        <w:rPr>
          <w:rFonts w:ascii="宋体" w:hAnsi="宋体"/>
          <w:smallCaps w:val="0"/>
          <w:sz w:val="28"/>
          <w:szCs w:val="28"/>
        </w:rPr>
      </w:pPr>
      <w:r>
        <w:fldChar w:fldCharType="begin"/>
      </w:r>
      <w:r>
        <w:instrText xml:space="preserve"> HYPERLINK \l "_Toc71894982" </w:instrText>
      </w:r>
      <w:r>
        <w:fldChar w:fldCharType="separate"/>
      </w:r>
      <w:r>
        <w:rPr>
          <w:rStyle w:val="40"/>
          <w:rFonts w:ascii="宋体" w:hAnsi="宋体"/>
          <w:color w:val="auto"/>
          <w:kern w:val="3"/>
          <w:sz w:val="28"/>
          <w:szCs w:val="28"/>
        </w:rPr>
        <w:t>8.2</w:t>
      </w:r>
      <w:r>
        <w:rPr>
          <w:rStyle w:val="40"/>
          <w:rFonts w:hint="eastAsia" w:ascii="宋体" w:hAnsi="宋体"/>
          <w:color w:val="auto"/>
          <w:kern w:val="3"/>
          <w:sz w:val="28"/>
          <w:szCs w:val="28"/>
        </w:rPr>
        <w:t>各评价单元综合评价结论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_Toc71894982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624B22D5">
      <w:pPr>
        <w:pStyle w:val="25"/>
        <w:tabs>
          <w:tab w:val="right" w:leader="dot" w:pos="8296"/>
        </w:tabs>
        <w:rPr>
          <w:rFonts w:ascii="宋体" w:hAnsi="宋体"/>
          <w:smallCaps w:val="0"/>
          <w:sz w:val="28"/>
          <w:szCs w:val="28"/>
        </w:rPr>
      </w:pPr>
      <w:r>
        <w:fldChar w:fldCharType="begin"/>
      </w:r>
      <w:r>
        <w:instrText xml:space="preserve"> HYPERLINK \l "_Toc71894983" </w:instrText>
      </w:r>
      <w:r>
        <w:fldChar w:fldCharType="separate"/>
      </w:r>
      <w:r>
        <w:rPr>
          <w:rStyle w:val="40"/>
          <w:rFonts w:ascii="宋体" w:hAnsi="宋体"/>
          <w:color w:val="auto"/>
          <w:kern w:val="3"/>
          <w:sz w:val="28"/>
          <w:szCs w:val="28"/>
        </w:rPr>
        <w:t>8.2.1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_Toc71894983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2947BE45">
      <w:pPr>
        <w:pStyle w:val="25"/>
        <w:tabs>
          <w:tab w:val="right" w:leader="dot" w:pos="8296"/>
        </w:tabs>
        <w:rPr>
          <w:rFonts w:ascii="宋体" w:hAnsi="宋体"/>
          <w:smallCaps w:val="0"/>
          <w:sz w:val="28"/>
          <w:szCs w:val="28"/>
        </w:rPr>
      </w:pPr>
      <w:r>
        <w:fldChar w:fldCharType="begin"/>
      </w:r>
      <w:r>
        <w:instrText xml:space="preserve"> HYPERLINK \l "_Toc71894984" </w:instrText>
      </w:r>
      <w:r>
        <w:fldChar w:fldCharType="separate"/>
      </w:r>
      <w:r>
        <w:rPr>
          <w:rStyle w:val="40"/>
          <w:rFonts w:ascii="宋体" w:hAnsi="宋体"/>
          <w:color w:val="auto"/>
          <w:kern w:val="3"/>
          <w:sz w:val="28"/>
          <w:szCs w:val="28"/>
        </w:rPr>
        <w:t>8.2.2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_Toc71894984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6505E0F5">
      <w:pPr>
        <w:pStyle w:val="25"/>
        <w:tabs>
          <w:tab w:val="right" w:leader="dot" w:pos="8296"/>
        </w:tabs>
        <w:rPr>
          <w:rFonts w:ascii="宋体" w:hAnsi="宋体"/>
          <w:smallCaps w:val="0"/>
          <w:sz w:val="28"/>
          <w:szCs w:val="28"/>
        </w:rPr>
      </w:pPr>
      <w:r>
        <w:fldChar w:fldCharType="begin"/>
      </w:r>
      <w:r>
        <w:instrText xml:space="preserve"> HYPERLINK \l "_Toc71894985" </w:instrText>
      </w:r>
      <w:r>
        <w:fldChar w:fldCharType="separate"/>
      </w:r>
      <w:r>
        <w:rPr>
          <w:rStyle w:val="40"/>
          <w:rFonts w:ascii="宋体" w:hAnsi="宋体"/>
          <w:color w:val="auto"/>
          <w:kern w:val="3"/>
          <w:sz w:val="28"/>
          <w:szCs w:val="28"/>
        </w:rPr>
        <w:t>8.2.3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_Toc71894985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1CBDF748">
      <w:pPr>
        <w:pStyle w:val="25"/>
        <w:tabs>
          <w:tab w:val="right" w:leader="dot" w:pos="8296"/>
        </w:tabs>
        <w:rPr>
          <w:rFonts w:ascii="宋体" w:hAnsi="宋体"/>
          <w:smallCaps w:val="0"/>
          <w:sz w:val="28"/>
          <w:szCs w:val="28"/>
        </w:rPr>
      </w:pPr>
      <w:r>
        <w:fldChar w:fldCharType="begin"/>
      </w:r>
      <w:r>
        <w:instrText xml:space="preserve"> HYPERLINK \l "_Toc71894986" </w:instrText>
      </w:r>
      <w:r>
        <w:fldChar w:fldCharType="separate"/>
      </w:r>
      <w:r>
        <w:rPr>
          <w:rStyle w:val="40"/>
          <w:rFonts w:ascii="宋体" w:hAnsi="宋体"/>
          <w:color w:val="auto"/>
          <w:kern w:val="3"/>
          <w:sz w:val="28"/>
          <w:szCs w:val="28"/>
        </w:rPr>
        <w:t>8.2.4</w:t>
      </w:r>
      <w:r>
        <w:rPr>
          <w:rStyle w:val="40"/>
          <w:rFonts w:hint="eastAsia" w:ascii="宋体" w:hAnsi="宋体"/>
          <w:color w:val="auto"/>
          <w:kern w:val="3"/>
          <w:sz w:val="28"/>
          <w:szCs w:val="28"/>
        </w:rPr>
        <w:t>消防、供排水评价单元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_Toc71894986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750B1039">
      <w:pPr>
        <w:pStyle w:val="25"/>
        <w:tabs>
          <w:tab w:val="right" w:leader="dot" w:pos="8296"/>
        </w:tabs>
        <w:rPr>
          <w:rFonts w:ascii="宋体" w:hAnsi="宋体"/>
          <w:smallCaps w:val="0"/>
          <w:sz w:val="28"/>
          <w:szCs w:val="28"/>
        </w:rPr>
      </w:pPr>
      <w:r>
        <w:fldChar w:fldCharType="begin"/>
      </w:r>
      <w:r>
        <w:instrText xml:space="preserve"> HYPERLINK \l "_Toc71894987" </w:instrText>
      </w:r>
      <w:r>
        <w:fldChar w:fldCharType="separate"/>
      </w:r>
      <w:r>
        <w:rPr>
          <w:rStyle w:val="40"/>
          <w:rFonts w:ascii="宋体" w:hAnsi="宋体"/>
          <w:color w:val="auto"/>
          <w:kern w:val="3"/>
          <w:sz w:val="28"/>
          <w:szCs w:val="28"/>
        </w:rPr>
        <w:t>8.2.5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_Toc71894987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066A565A">
      <w:pPr>
        <w:pStyle w:val="25"/>
        <w:tabs>
          <w:tab w:val="right" w:leader="dot" w:pos="8296"/>
        </w:tabs>
        <w:rPr>
          <w:rFonts w:ascii="宋体" w:hAnsi="宋体"/>
          <w:smallCaps w:val="0"/>
          <w:sz w:val="28"/>
          <w:szCs w:val="28"/>
        </w:rPr>
      </w:pPr>
      <w:r>
        <w:fldChar w:fldCharType="begin"/>
      </w:r>
      <w:r>
        <w:instrText xml:space="preserve"> HYPERLINK \l "_Toc71894988" </w:instrText>
      </w:r>
      <w:r>
        <w:fldChar w:fldCharType="separate"/>
      </w:r>
      <w:r>
        <w:rPr>
          <w:rStyle w:val="40"/>
          <w:rFonts w:ascii="宋体" w:hAnsi="宋体"/>
          <w:color w:val="auto"/>
          <w:kern w:val="3"/>
          <w:sz w:val="28"/>
          <w:szCs w:val="28"/>
        </w:rPr>
        <w:t>8.2.6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_Toc71894988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107A306D">
      <w:pPr>
        <w:pStyle w:val="25"/>
        <w:tabs>
          <w:tab w:val="right" w:leader="dot" w:pos="8296"/>
        </w:tabs>
        <w:rPr>
          <w:rFonts w:ascii="宋体" w:hAnsi="宋体"/>
          <w:smallCaps w:val="0"/>
          <w:sz w:val="28"/>
          <w:szCs w:val="28"/>
        </w:rPr>
      </w:pPr>
      <w:r>
        <w:fldChar w:fldCharType="begin"/>
      </w:r>
      <w:r>
        <w:instrText xml:space="preserve"> HYPERLINK \l "_Toc71894989" </w:instrText>
      </w:r>
      <w:r>
        <w:fldChar w:fldCharType="separate"/>
      </w:r>
      <w:r>
        <w:rPr>
          <w:rStyle w:val="40"/>
          <w:rFonts w:ascii="宋体" w:hAnsi="宋体"/>
          <w:color w:val="auto"/>
          <w:kern w:val="3"/>
          <w:sz w:val="28"/>
          <w:szCs w:val="28"/>
        </w:rPr>
        <w:t xml:space="preserve">8.3 </w:t>
      </w:r>
      <w:r>
        <w:rPr>
          <w:rStyle w:val="40"/>
          <w:rFonts w:hint="eastAsia" w:ascii="宋体" w:hAnsi="宋体"/>
          <w:color w:val="auto"/>
          <w:kern w:val="3"/>
          <w:sz w:val="28"/>
          <w:szCs w:val="28"/>
        </w:rPr>
        <w:t>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_Toc71894989 \h </w:instrText>
      </w:r>
      <w:r>
        <w:rPr>
          <w:rFonts w:ascii="宋体" w:hAnsi="宋体"/>
          <w:sz w:val="28"/>
          <w:szCs w:val="28"/>
        </w:rPr>
        <w:fldChar w:fldCharType="separate"/>
      </w:r>
      <w:r>
        <w:rPr>
          <w:rFonts w:ascii="宋体" w:hAnsi="宋体"/>
          <w:sz w:val="28"/>
          <w:szCs w:val="28"/>
        </w:rPr>
        <w:t>110</w:t>
      </w:r>
      <w:r>
        <w:rPr>
          <w:rFonts w:ascii="宋体" w:hAnsi="宋体"/>
          <w:sz w:val="28"/>
          <w:szCs w:val="28"/>
        </w:rPr>
        <w:fldChar w:fldCharType="end"/>
      </w:r>
      <w:r>
        <w:rPr>
          <w:rFonts w:ascii="宋体" w:hAnsi="宋体"/>
          <w:sz w:val="28"/>
          <w:szCs w:val="28"/>
        </w:rPr>
        <w:fldChar w:fldCharType="end"/>
      </w:r>
    </w:p>
    <w:p w14:paraId="2F0CE5D0">
      <w:pPr>
        <w:pStyle w:val="25"/>
        <w:tabs>
          <w:tab w:val="right" w:leader="dot" w:pos="8296"/>
        </w:tabs>
        <w:rPr>
          <w:rFonts w:ascii="宋体" w:hAnsi="宋体"/>
          <w:smallCaps w:val="0"/>
          <w:sz w:val="28"/>
          <w:szCs w:val="28"/>
        </w:rPr>
      </w:pPr>
      <w:r>
        <w:fldChar w:fldCharType="begin"/>
      </w:r>
      <w:r>
        <w:instrText xml:space="preserve"> HYPERLINK \l "_Toc71894990"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9</w:t>
      </w:r>
      <w:r>
        <w:rPr>
          <w:rStyle w:val="40"/>
          <w:rFonts w:hint="eastAsia" w:ascii="宋体" w:hAnsi="宋体"/>
          <w:color w:val="auto"/>
          <w:kern w:val="3"/>
          <w:sz w:val="28"/>
          <w:szCs w:val="28"/>
        </w:rPr>
        <w:t>章与被评价单位交换意见的情况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_Toc71894990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2683464C">
      <w:pPr>
        <w:pStyle w:val="25"/>
        <w:tabs>
          <w:tab w:val="right" w:leader="dot" w:pos="8296"/>
        </w:tabs>
        <w:rPr>
          <w:rFonts w:ascii="宋体" w:hAnsi="宋体"/>
          <w:smallCaps w:val="0"/>
          <w:sz w:val="28"/>
          <w:szCs w:val="28"/>
        </w:rPr>
      </w:pPr>
      <w:r>
        <w:fldChar w:fldCharType="begin"/>
      </w:r>
      <w:r>
        <w:instrText xml:space="preserve"> HYPERLINK \l "_Toc71894991" </w:instrText>
      </w:r>
      <w:r>
        <w:fldChar w:fldCharType="separate"/>
      </w:r>
      <w:r>
        <w:rPr>
          <w:rStyle w:val="40"/>
          <w:rFonts w:hint="eastAsia" w:ascii="宋体" w:hAnsi="宋体"/>
          <w:color w:val="auto"/>
          <w:kern w:val="3"/>
          <w:sz w:val="28"/>
          <w:szCs w:val="28"/>
        </w:rPr>
        <w:t>附件目录</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_Toc71894991 \h </w:instrText>
      </w:r>
      <w:r>
        <w:rPr>
          <w:rFonts w:ascii="宋体" w:hAnsi="宋体"/>
          <w:sz w:val="28"/>
          <w:szCs w:val="28"/>
        </w:rPr>
        <w:fldChar w:fldCharType="separate"/>
      </w:r>
      <w:r>
        <w:rPr>
          <w:rFonts w:ascii="宋体" w:hAnsi="宋体"/>
          <w:sz w:val="28"/>
          <w:szCs w:val="28"/>
        </w:rPr>
        <w:t>112</w:t>
      </w:r>
      <w:r>
        <w:rPr>
          <w:rFonts w:ascii="宋体" w:hAnsi="宋体"/>
          <w:sz w:val="28"/>
          <w:szCs w:val="28"/>
        </w:rPr>
        <w:fldChar w:fldCharType="end"/>
      </w:r>
      <w:r>
        <w:rPr>
          <w:rFonts w:ascii="宋体" w:hAnsi="宋体"/>
          <w:sz w:val="28"/>
          <w:szCs w:val="28"/>
        </w:rPr>
        <w:fldChar w:fldCharType="end"/>
      </w:r>
    </w:p>
    <w:p w14:paraId="300B2DB2">
      <w:pPr>
        <w:pStyle w:val="21"/>
        <w:rPr>
          <w:rStyle w:val="40"/>
          <w:rFonts w:ascii="等线" w:hAnsi="等线" w:eastAsia="等线"/>
          <w:b w:val="0"/>
          <w:color w:val="auto"/>
          <w:sz w:val="28"/>
          <w:szCs w:val="28"/>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r>
        <w:rPr>
          <w:rFonts w:ascii="宋体" w:hAnsi="宋体"/>
          <w:b w:val="0"/>
          <w:sz w:val="28"/>
          <w:szCs w:val="28"/>
        </w:rPr>
        <w:fldChar w:fldCharType="end"/>
      </w:r>
    </w:p>
    <w:bookmarkEnd w:id="1"/>
    <w:bookmarkEnd w:id="2"/>
    <w:bookmarkEnd w:id="3"/>
    <w:bookmarkEnd w:id="4"/>
    <w:bookmarkEnd w:id="5"/>
    <w:bookmarkEnd w:id="6"/>
    <w:p w14:paraId="023111FB">
      <w:pPr>
        <w:pStyle w:val="4"/>
        <w:spacing w:afterLines="100" w:line="500" w:lineRule="exact"/>
        <w:jc w:val="center"/>
        <w:rPr>
          <w:rFonts w:ascii="楷体_GB2312" w:hAnsi="宋体" w:eastAsia="楷体_GB2312"/>
          <w:kern w:val="3"/>
        </w:rPr>
      </w:pPr>
      <w:bookmarkStart w:id="8" w:name="_Toc350843705"/>
      <w:bookmarkStart w:id="9" w:name="_Toc123286482"/>
      <w:bookmarkStart w:id="10" w:name="_Toc71894854"/>
      <w:r>
        <w:rPr>
          <w:rFonts w:hint="eastAsia" w:ascii="楷体_GB2312" w:hAnsi="宋体" w:eastAsia="楷体_GB2312"/>
          <w:kern w:val="3"/>
        </w:rPr>
        <w:t>第1章  编制说明</w:t>
      </w:r>
      <w:bookmarkEnd w:id="8"/>
      <w:bookmarkEnd w:id="9"/>
      <w:bookmarkEnd w:id="10"/>
    </w:p>
    <w:p w14:paraId="7814DFCA">
      <w:pPr>
        <w:pStyle w:val="4"/>
        <w:spacing w:afterLines="100" w:line="500" w:lineRule="exact"/>
        <w:jc w:val="center"/>
        <w:rPr>
          <w:rFonts w:ascii="楷体_GB2312" w:hAnsi="宋体" w:eastAsia="楷体_GB2312"/>
          <w:kern w:val="3"/>
        </w:rPr>
      </w:pPr>
      <w:bookmarkStart w:id="11" w:name="_Toc76028312"/>
      <w:bookmarkStart w:id="12" w:name="_Toc123286483"/>
      <w:bookmarkStart w:id="13" w:name="_Toc350843706"/>
      <w:bookmarkStart w:id="14" w:name="_Toc71894855"/>
      <w:r>
        <w:rPr>
          <w:rFonts w:hint="eastAsia" w:ascii="楷体_GB2312" w:hAnsi="宋体" w:eastAsia="楷体_GB2312"/>
          <w:kern w:val="3"/>
        </w:rPr>
        <w:t>1.1安全评价依据</w:t>
      </w:r>
      <w:bookmarkEnd w:id="11"/>
      <w:bookmarkEnd w:id="12"/>
      <w:bookmarkEnd w:id="13"/>
      <w:bookmarkEnd w:id="14"/>
      <w:bookmarkStart w:id="15" w:name="_Toc76028313"/>
    </w:p>
    <w:bookmarkEnd w:id="15"/>
    <w:p w14:paraId="1C40EFDF">
      <w:pPr>
        <w:pStyle w:val="4"/>
        <w:spacing w:afterLines="100" w:line="500" w:lineRule="exact"/>
        <w:rPr>
          <w:rFonts w:ascii="黑体" w:hAnsi="宋体"/>
          <w:kern w:val="3"/>
          <w:sz w:val="28"/>
          <w:szCs w:val="28"/>
        </w:rPr>
      </w:pPr>
      <w:bookmarkStart w:id="16" w:name="_Toc235074744"/>
      <w:bookmarkStart w:id="17" w:name="_Toc231987351"/>
      <w:bookmarkStart w:id="18" w:name="_Toc235614128"/>
      <w:bookmarkStart w:id="19" w:name="_Toc231987766"/>
      <w:bookmarkStart w:id="20" w:name="_Toc232045029"/>
      <w:bookmarkStart w:id="21" w:name="_Toc232044495"/>
      <w:bookmarkStart w:id="22" w:name="_Toc373933196"/>
      <w:bookmarkStart w:id="23" w:name="_Toc375925993"/>
      <w:bookmarkStart w:id="24" w:name="_Toc286493630"/>
      <w:bookmarkStart w:id="25" w:name="_Toc11641"/>
      <w:bookmarkStart w:id="26" w:name="_Toc380671062"/>
      <w:bookmarkStart w:id="27" w:name="_Toc378262320"/>
      <w:bookmarkStart w:id="28" w:name="_Toc46241102"/>
      <w:bookmarkStart w:id="29" w:name="_Toc71894856"/>
      <w:r>
        <w:rPr>
          <w:rFonts w:hint="eastAsia" w:ascii="黑体" w:hAnsi="宋体"/>
          <w:kern w:val="3"/>
          <w:sz w:val="28"/>
          <w:szCs w:val="28"/>
        </w:rPr>
        <w:t>1.</w:t>
      </w:r>
      <w:bookmarkEnd w:id="16"/>
      <w:bookmarkEnd w:id="17"/>
      <w:bookmarkEnd w:id="18"/>
      <w:bookmarkEnd w:id="19"/>
      <w:bookmarkEnd w:id="20"/>
      <w:bookmarkEnd w:id="21"/>
      <w:r>
        <w:rPr>
          <w:rFonts w:ascii="黑体" w:hAnsi="宋体"/>
          <w:kern w:val="3"/>
          <w:sz w:val="28"/>
          <w:szCs w:val="28"/>
        </w:rPr>
        <w:t>1</w:t>
      </w:r>
      <w:r>
        <w:rPr>
          <w:rFonts w:hint="eastAsia" w:ascii="黑体" w:hAnsi="宋体"/>
          <w:kern w:val="3"/>
          <w:sz w:val="28"/>
          <w:szCs w:val="28"/>
        </w:rPr>
        <w:t>.1</w:t>
      </w:r>
      <w:bookmarkEnd w:id="22"/>
      <w:bookmarkEnd w:id="23"/>
      <w:bookmarkEnd w:id="24"/>
      <w:r>
        <w:rPr>
          <w:rFonts w:hint="eastAsia" w:ascii="黑体" w:hAnsi="宋体"/>
          <w:kern w:val="3"/>
          <w:sz w:val="28"/>
          <w:szCs w:val="28"/>
        </w:rPr>
        <w:t>国家法律</w:t>
      </w:r>
      <w:bookmarkEnd w:id="25"/>
      <w:bookmarkEnd w:id="26"/>
      <w:bookmarkEnd w:id="27"/>
      <w:r>
        <w:rPr>
          <w:rFonts w:hint="eastAsia" w:ascii="黑体" w:hAnsi="宋体"/>
          <w:kern w:val="3"/>
          <w:sz w:val="28"/>
          <w:szCs w:val="28"/>
        </w:rPr>
        <w:t>法规</w:t>
      </w:r>
      <w:bookmarkEnd w:id="28"/>
      <w:bookmarkEnd w:id="29"/>
    </w:p>
    <w:p w14:paraId="01E242DC">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《中华人民共和国安全生产法》（中华人民共和国主席令第88号，2021年9月1日施行）；</w:t>
      </w:r>
    </w:p>
    <w:p w14:paraId="51702EE9">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《中华人民共和国消防法》（中华人民共和国主席令第81号，第十三届全国人民代表大会常务委员会第二十八次会议于2021年4月29日通过）；</w:t>
      </w:r>
    </w:p>
    <w:p w14:paraId="714AF1B2">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《中华人民共和国职业病防治法》（中华人民共和国主席令第24号，根据2018年12月29日第十三届全国人民代表大会常务委员会第七次会议《关于修改等七部法律的决定》第四次修正，2018年12月29日起施行）；</w:t>
      </w:r>
    </w:p>
    <w:p w14:paraId="513599A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气象法》（中华人民共和国主席令[1999]第23号，2016年11月7日第十二届全国人民代表大会常务委员会第二十四次会议《关于修改&lt;中华人民共和国对外贸易法&gt;等十二部法律的决定》第三次修正，2016年11月7日起施行）；</w:t>
      </w:r>
    </w:p>
    <w:p w14:paraId="500EFE3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法》（中华人民共和国主席令第28号，根据2018年12月29日第十三届全国人民代表大会常务委员会第七次会议《关于修改&lt;中华人民共和国劳动法〉等七部法律的决定》第二次修正，2018年12月29日起施行）；</w:t>
      </w:r>
    </w:p>
    <w:p w14:paraId="5512BAF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《中华人民共和国劳动合同法》（中华人民共和国主席令第73号，2013年7月1日施行）；</w:t>
      </w:r>
    </w:p>
    <w:p w14:paraId="40342DBD">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《中华人民共和国突发事件应对法》（中华人民共和国主席令第</w:t>
      </w:r>
      <w:r>
        <w:rPr>
          <w:rFonts w:hint="eastAsia" w:ascii="新宋体" w:hAnsi="新宋体" w:eastAsia="新宋体"/>
          <w:sz w:val="28"/>
          <w:szCs w:val="20"/>
          <w:lang w:val="en-US" w:eastAsia="zh-CN"/>
        </w:rPr>
        <w:t>25</w:t>
      </w:r>
      <w:r>
        <w:rPr>
          <w:rFonts w:hint="eastAsia" w:ascii="新宋体" w:hAnsi="新宋体" w:eastAsia="新宋体"/>
          <w:sz w:val="28"/>
          <w:szCs w:val="20"/>
        </w:rPr>
        <w:t>号，20</w:t>
      </w:r>
      <w:r>
        <w:rPr>
          <w:rFonts w:hint="eastAsia" w:ascii="新宋体" w:hAnsi="新宋体" w:eastAsia="新宋体"/>
          <w:sz w:val="28"/>
          <w:szCs w:val="20"/>
          <w:lang w:val="en-US" w:eastAsia="zh-CN"/>
        </w:rPr>
        <w:t>24</w:t>
      </w:r>
      <w:r>
        <w:rPr>
          <w:rFonts w:hint="eastAsia" w:ascii="新宋体" w:hAnsi="新宋体" w:eastAsia="新宋体"/>
          <w:sz w:val="28"/>
          <w:szCs w:val="20"/>
        </w:rPr>
        <w:t>年11月1日施行）；</w:t>
      </w:r>
    </w:p>
    <w:p w14:paraId="1B5090FF">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《中华人民共和国环境保护法》（中华人民共和国主席令第22号， 2014年4月24日第十二届全国人民代表大会常务委员会第八次会议修订，自2015年1月1日起施行）；</w:t>
      </w:r>
    </w:p>
    <w:p w14:paraId="04F3BBD1">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大气污染防治法》（中华人民共和国主席令[2015]第31号，根据2018年10月26日第十三届全国人民代表大会常务委员会第六次会议《关于修改〈中华人民共和国野生动物保护法〉等十五部法律的决定》第二次修正，2018年10月26日起施行）；</w:t>
      </w:r>
    </w:p>
    <w:p w14:paraId="392663EB">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z w:val="28"/>
          <w:szCs w:val="20"/>
        </w:rPr>
        <w:t>《中华人民共和国水污染防治法》（第十二届全国人民代表大会常务委员会第二十八次会议修正，自2018年1月1日起施行）。</w:t>
      </w:r>
    </w:p>
    <w:p w14:paraId="08BD768D">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《中华人民共和国特种设备安全法》（中华人民共和国主席令第4号，自2014年1月1日施行）；</w:t>
      </w:r>
    </w:p>
    <w:p w14:paraId="5CE5FDAC">
      <w:pPr>
        <w:numPr>
          <w:ilvl w:val="0"/>
          <w:numId w:val="1"/>
        </w:numPr>
        <w:snapToGrid w:val="0"/>
        <w:spacing w:line="500" w:lineRule="exact"/>
        <w:ind w:firstLine="560" w:firstLineChars="200"/>
        <w:rPr>
          <w:rFonts w:ascii="新宋体" w:hAnsi="新宋体" w:eastAsia="新宋体"/>
          <w:snapToGrid w:val="0"/>
          <w:kern w:val="0"/>
          <w:sz w:val="28"/>
          <w:szCs w:val="20"/>
        </w:rPr>
      </w:pPr>
      <w:bookmarkStart w:id="30" w:name="_Toc208398653"/>
      <w:bookmarkStart w:id="31" w:name="_Toc194389866"/>
      <w:r>
        <w:rPr>
          <w:rFonts w:hint="eastAsia" w:ascii="新宋体" w:hAnsi="新宋体" w:eastAsia="新宋体"/>
          <w:snapToGrid w:val="0"/>
          <w:kern w:val="0"/>
          <w:sz w:val="28"/>
          <w:szCs w:val="20"/>
        </w:rPr>
        <w:t>《危险化学品安全管理条例》（</w:t>
      </w:r>
      <w:r>
        <w:rPr>
          <w:rFonts w:hint="eastAsia" w:ascii="新宋体" w:hAnsi="新宋体" w:eastAsia="新宋体"/>
          <w:snapToGrid w:val="0"/>
          <w:kern w:val="20"/>
          <w:sz w:val="28"/>
        </w:rPr>
        <w:t>国务院令第344号公布，第591号第一次修正，第645号第二次修正</w:t>
      </w:r>
      <w:r>
        <w:rPr>
          <w:rFonts w:hint="eastAsia" w:ascii="新宋体" w:hAnsi="新宋体" w:eastAsia="新宋体"/>
          <w:snapToGrid w:val="0"/>
          <w:kern w:val="0"/>
          <w:sz w:val="28"/>
          <w:szCs w:val="20"/>
        </w:rPr>
        <w:t>，实施日期：2011年12月1日）；</w:t>
      </w:r>
    </w:p>
    <w:p w14:paraId="1C32E72F">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《工伤保险条例》（国务院令第586号  实施日期：2013年1月1日）；</w:t>
      </w:r>
    </w:p>
    <w:p w14:paraId="2FF4AE17">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《生产安全事故报告和调查处理条例》（国务院令第493号  实施日期：2007年6月1日）；</w:t>
      </w:r>
    </w:p>
    <w:p w14:paraId="28167B03">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《生产安全事故应急条例》（国务院令第708号，2019年4月1日起施行）。</w:t>
      </w:r>
    </w:p>
    <w:p w14:paraId="16658CB1">
      <w:pPr>
        <w:pStyle w:val="4"/>
        <w:spacing w:afterLines="100" w:line="500" w:lineRule="exact"/>
        <w:rPr>
          <w:rFonts w:ascii="黑体" w:hAnsi="宋体"/>
          <w:kern w:val="3"/>
          <w:sz w:val="28"/>
          <w:szCs w:val="28"/>
        </w:rPr>
      </w:pPr>
      <w:bookmarkStart w:id="32" w:name="_Toc32235"/>
      <w:bookmarkStart w:id="33" w:name="_Toc378262322"/>
      <w:bookmarkStart w:id="34" w:name="_Toc46241103"/>
      <w:bookmarkStart w:id="35" w:name="_Toc71894857"/>
      <w:bookmarkStart w:id="36" w:name="_Toc380671064"/>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.2部门规章</w:t>
      </w:r>
      <w:bookmarkEnd w:id="32"/>
      <w:bookmarkEnd w:id="33"/>
      <w:bookmarkEnd w:id="34"/>
      <w:bookmarkEnd w:id="35"/>
      <w:bookmarkEnd w:id="36"/>
    </w:p>
    <w:p w14:paraId="2883F58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《危险化学品经营许可证管理办法》（国家安监总局令第55号公布，第79号修正，自2015年７月１日起施行）；</w:t>
      </w:r>
    </w:p>
    <w:p w14:paraId="68439305">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《生产经营单位安全培训规定》（国家安监总局令第</w:t>
      </w:r>
      <w:r>
        <w:rPr>
          <w:rFonts w:ascii="新宋体" w:hAnsi="新宋体" w:eastAsia="新宋体"/>
          <w:sz w:val="28"/>
          <w:szCs w:val="20"/>
        </w:rPr>
        <w:t>3</w:t>
      </w:r>
      <w:r>
        <w:rPr>
          <w:rFonts w:hint="eastAsia" w:ascii="新宋体" w:hAnsi="新宋体" w:eastAsia="新宋体"/>
          <w:sz w:val="28"/>
          <w:szCs w:val="20"/>
        </w:rPr>
        <w:t>号公布，第80</w:t>
      </w:r>
      <w:r>
        <w:rPr>
          <w:rFonts w:hint="eastAsia" w:ascii="新宋体" w:hAnsi="新宋体" w:eastAsia="新宋体" w:cs="Tahoma"/>
          <w:bCs/>
          <w:sz w:val="28"/>
          <w:szCs w:val="28"/>
        </w:rPr>
        <w:t>号修正，自2015年7月1日起施行）；</w:t>
      </w:r>
    </w:p>
    <w:p w14:paraId="0C9E675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p>
    <w:p w14:paraId="1D2165B7">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《特种作业人员安全技术培训考核管理规定》（国家安监总局令第</w:t>
      </w:r>
      <w:r>
        <w:rPr>
          <w:rFonts w:ascii="新宋体" w:hAnsi="新宋体" w:eastAsia="新宋体"/>
          <w:sz w:val="28"/>
          <w:szCs w:val="20"/>
        </w:rPr>
        <w:t>30</w:t>
      </w:r>
      <w:r>
        <w:rPr>
          <w:rFonts w:hint="eastAsia" w:ascii="新宋体" w:hAnsi="新宋体" w:eastAsia="新宋体"/>
          <w:sz w:val="28"/>
          <w:szCs w:val="20"/>
        </w:rPr>
        <w:t>号公布，第80号修正</w:t>
      </w:r>
      <w:r>
        <w:rPr>
          <w:rFonts w:hint="eastAsia" w:ascii="新宋体" w:hAnsi="新宋体" w:eastAsia="新宋体" w:cs="Tahoma"/>
          <w:bCs/>
          <w:sz w:val="28"/>
          <w:szCs w:val="28"/>
        </w:rPr>
        <w:t>，自2015年7月1日起施行</w:t>
      </w:r>
      <w:r>
        <w:rPr>
          <w:rFonts w:hint="eastAsia" w:ascii="新宋体" w:hAnsi="新宋体" w:eastAsia="新宋体"/>
          <w:sz w:val="28"/>
          <w:szCs w:val="20"/>
        </w:rPr>
        <w:t>）；</w:t>
      </w:r>
    </w:p>
    <w:p w14:paraId="3DA870F7">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《危险化学品重大危险源监督管理暂行规定》（国家安全生产监督管理总局令第</w:t>
      </w:r>
      <w:r>
        <w:rPr>
          <w:rFonts w:ascii="新宋体" w:hAnsi="新宋体" w:eastAsia="新宋体" w:cs="宋体"/>
          <w:kern w:val="0"/>
          <w:sz w:val="28"/>
          <w:szCs w:val="28"/>
        </w:rPr>
        <w:t>40</w:t>
      </w:r>
      <w:r>
        <w:rPr>
          <w:rFonts w:hint="eastAsia" w:ascii="新宋体" w:hAnsi="新宋体" w:eastAsia="新宋体" w:cs="宋体"/>
          <w:kern w:val="0"/>
          <w:sz w:val="28"/>
          <w:szCs w:val="28"/>
        </w:rPr>
        <w:t>号发布，第79号修正</w:t>
      </w:r>
      <w:r>
        <w:rPr>
          <w:rFonts w:hint="eastAsia" w:ascii="新宋体" w:hAnsi="新宋体" w:eastAsia="新宋体"/>
          <w:sz w:val="28"/>
          <w:szCs w:val="20"/>
        </w:rPr>
        <w:t>，自2015年７月１日起施行</w:t>
      </w:r>
      <w:r>
        <w:rPr>
          <w:rFonts w:hint="eastAsia" w:ascii="新宋体" w:hAnsi="新宋体" w:eastAsia="新宋体" w:cs="宋体"/>
          <w:kern w:val="0"/>
          <w:sz w:val="28"/>
          <w:szCs w:val="28"/>
        </w:rPr>
        <w:t>）；</w:t>
      </w:r>
    </w:p>
    <w:p w14:paraId="0BAFB93B">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《安全生产培训管理办法》（国家安监总局令第</w:t>
      </w:r>
      <w:r>
        <w:rPr>
          <w:rFonts w:ascii="新宋体" w:hAnsi="新宋体" w:eastAsia="新宋体" w:cs="宋体"/>
          <w:kern w:val="0"/>
          <w:sz w:val="28"/>
          <w:szCs w:val="28"/>
        </w:rPr>
        <w:t>44</w:t>
      </w:r>
      <w:r>
        <w:rPr>
          <w:rFonts w:hint="eastAsia" w:ascii="新宋体" w:hAnsi="新宋体" w:eastAsia="新宋体" w:cs="宋体"/>
          <w:kern w:val="0"/>
          <w:sz w:val="28"/>
          <w:szCs w:val="28"/>
        </w:rPr>
        <w:t>号</w:t>
      </w:r>
      <w:r>
        <w:rPr>
          <w:rFonts w:hint="eastAsia" w:ascii="新宋体" w:hAnsi="新宋体" w:eastAsia="新宋体"/>
          <w:sz w:val="28"/>
          <w:szCs w:val="20"/>
        </w:rPr>
        <w:t>公布，第80号修正</w:t>
      </w:r>
      <w:r>
        <w:rPr>
          <w:rFonts w:hint="eastAsia" w:ascii="新宋体" w:hAnsi="新宋体" w:eastAsia="新宋体" w:cs="Tahoma"/>
          <w:bCs/>
          <w:sz w:val="28"/>
          <w:szCs w:val="28"/>
        </w:rPr>
        <w:t>，自2015年7月1日起施行</w:t>
      </w:r>
      <w:r>
        <w:rPr>
          <w:rFonts w:hint="eastAsia" w:ascii="新宋体" w:hAnsi="新宋体" w:eastAsia="新宋体" w:cs="宋体"/>
          <w:kern w:val="0"/>
          <w:sz w:val="28"/>
          <w:szCs w:val="28"/>
        </w:rPr>
        <w:t>）；</w:t>
      </w:r>
    </w:p>
    <w:p w14:paraId="3A4D4A01">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《用人单位劳动防护用品管理规范》（</w:t>
      </w:r>
      <w:r>
        <w:rPr>
          <w:rFonts w:ascii="新宋体" w:hAnsi="新宋体" w:eastAsia="新宋体" w:cs="宋体"/>
          <w:kern w:val="0"/>
          <w:sz w:val="28"/>
          <w:szCs w:val="28"/>
        </w:rPr>
        <w:t>安监总厅安健〔2018〕3号</w:t>
      </w:r>
      <w:r>
        <w:rPr>
          <w:rFonts w:hint="eastAsia" w:ascii="新宋体" w:hAnsi="新宋体" w:eastAsia="新宋体" w:cs="宋体"/>
          <w:kern w:val="0"/>
          <w:sz w:val="28"/>
          <w:szCs w:val="28"/>
        </w:rPr>
        <w:t>，2018年1月15日起施行）；</w:t>
      </w:r>
    </w:p>
    <w:p w14:paraId="1C7C462D">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《国家安全监管总局关于公布首批重点监管的危险化学品目录的通知》（安监总管三〔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95</w:t>
      </w:r>
      <w:r>
        <w:rPr>
          <w:rFonts w:hint="eastAsia" w:ascii="新宋体" w:hAnsi="新宋体" w:eastAsia="新宋体"/>
          <w:sz w:val="28"/>
          <w:szCs w:val="20"/>
        </w:rPr>
        <w:t>号）；</w:t>
      </w:r>
    </w:p>
    <w:p w14:paraId="23E860A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《国家安全监管总局办公厅关于印发首批重点监管的危险化学品安全措施和应急处置原则的通知》（安监总厅管三〔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142</w:t>
      </w:r>
      <w:r>
        <w:rPr>
          <w:rFonts w:hint="eastAsia" w:ascii="新宋体" w:hAnsi="新宋体" w:eastAsia="新宋体"/>
          <w:sz w:val="28"/>
          <w:szCs w:val="20"/>
        </w:rPr>
        <w:t>号）；</w:t>
      </w:r>
    </w:p>
    <w:p w14:paraId="106422EB">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《机关、团体、企业、事业单位消防安全管理规定》（公安部令第</w:t>
      </w:r>
      <w:r>
        <w:rPr>
          <w:rFonts w:ascii="新宋体" w:hAnsi="新宋体" w:eastAsia="新宋体"/>
          <w:sz w:val="28"/>
          <w:szCs w:val="20"/>
        </w:rPr>
        <w:t>61</w:t>
      </w:r>
      <w:r>
        <w:rPr>
          <w:rFonts w:hint="eastAsia" w:ascii="新宋体" w:hAnsi="新宋体" w:eastAsia="新宋体"/>
          <w:sz w:val="28"/>
          <w:szCs w:val="20"/>
        </w:rPr>
        <w:t>号）；</w:t>
      </w:r>
    </w:p>
    <w:p w14:paraId="6C5B9C4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《企业安全生产责任体系五落实五到位规定》（安监总办〔2015〕27号，</w:t>
      </w:r>
      <w:r>
        <w:rPr>
          <w:rFonts w:hint="eastAsia" w:ascii="新宋体" w:hAnsi="新宋体" w:eastAsia="新宋体" w:cs="Tahoma"/>
          <w:bCs/>
          <w:sz w:val="28"/>
          <w:szCs w:val="28"/>
        </w:rPr>
        <w:t>2015年3月16日公布</w:t>
      </w:r>
      <w:r>
        <w:rPr>
          <w:rFonts w:hint="eastAsia" w:ascii="新宋体" w:hAnsi="新宋体" w:eastAsia="新宋体"/>
          <w:sz w:val="28"/>
          <w:szCs w:val="28"/>
        </w:rPr>
        <w:t>）；</w:t>
      </w:r>
    </w:p>
    <w:p w14:paraId="4876B349">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《国家安全监管总局办公厅关于进一步加强加油站安全生产工作的通知》（安监总厅管三〔</w:t>
      </w:r>
      <w:r>
        <w:rPr>
          <w:rFonts w:ascii="新宋体" w:hAnsi="新宋体" w:eastAsia="新宋体"/>
          <w:sz w:val="28"/>
          <w:szCs w:val="28"/>
        </w:rPr>
        <w:t>2016〕8号</w:t>
      </w:r>
      <w:r>
        <w:rPr>
          <w:rFonts w:hint="eastAsia" w:ascii="新宋体" w:hAnsi="新宋体" w:eastAsia="新宋体"/>
          <w:sz w:val="28"/>
          <w:szCs w:val="28"/>
        </w:rPr>
        <w:t>，自2016年2月5日起施行）；</w:t>
      </w:r>
    </w:p>
    <w:p w14:paraId="537E3173">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《化工和危险化学品生产经营单位重大生产安全事故隐患判定标准（试行）》（安监总管三〔2017〕121号）；</w:t>
      </w:r>
    </w:p>
    <w:p w14:paraId="2D8B4584">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宋体" w:hAnsi="宋体" w:cs="宋体"/>
          <w:sz w:val="28"/>
          <w:szCs w:val="28"/>
          <w:lang w:val="zh-CN"/>
        </w:rPr>
        <w:t>《危险化学品分类信息表》（安监总厅管三〔2015〕80号）；</w:t>
      </w:r>
    </w:p>
    <w:p w14:paraId="2EBD8A4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《应急管理部关于印发危险化学品生产储存企业安全风险评估诊断分级指南（试行）》（应急〔2018〕19号）；</w:t>
      </w:r>
    </w:p>
    <w:p w14:paraId="103F539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《中华人民共和国应急管理部关于调整柴油危险化学品属性的公告》（2022年第8号，2023年1月1日起施行）；</w:t>
      </w:r>
    </w:p>
    <w:p w14:paraId="385B7ED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《企业安全生产费用提取和使用管理办法》(财资〔2022〕136号)；</w:t>
      </w:r>
    </w:p>
    <w:p w14:paraId="7F6500DC">
      <w:pPr>
        <w:numPr>
          <w:ilvl w:val="0"/>
          <w:numId w:val="2"/>
        </w:numPr>
        <w:tabs>
          <w:tab w:val="left" w:pos="900"/>
        </w:tabs>
        <w:adjustRightInd w:val="0"/>
        <w:snapToGrid w:val="0"/>
        <w:spacing w:line="500" w:lineRule="exact"/>
        <w:ind w:left="280" w:leftChars="0" w:firstLine="560" w:firstLineChars="0"/>
        <w:jc w:val="left"/>
        <w:rPr>
          <w:rFonts w:ascii="新宋体" w:hAnsi="新宋体" w:eastAsia="新宋体"/>
          <w:sz w:val="28"/>
          <w:szCs w:val="28"/>
        </w:rPr>
      </w:pPr>
      <w:r>
        <w:rPr>
          <w:rFonts w:hint="eastAsia" w:ascii="新宋体" w:hAnsi="新宋体" w:eastAsia="新宋体"/>
          <w:sz w:val="28"/>
          <w:szCs w:val="20"/>
        </w:rPr>
        <w:t>《生产安全事故罚款处罚规定》（</w:t>
      </w:r>
      <w:r>
        <w:rPr>
          <w:rFonts w:hint="eastAsia" w:ascii="新宋体" w:hAnsi="新宋体" w:eastAsia="新宋体"/>
          <w:sz w:val="28"/>
          <w:szCs w:val="28"/>
        </w:rPr>
        <w:t>应急管理部令</w:t>
      </w:r>
      <w:r>
        <w:rPr>
          <w:rFonts w:hint="eastAsia" w:ascii="新宋体" w:hAnsi="新宋体" w:eastAsia="新宋体"/>
          <w:sz w:val="28"/>
          <w:szCs w:val="28"/>
          <w:lang w:val="en-US" w:eastAsia="zh-CN"/>
        </w:rPr>
        <w:t>14</w:t>
      </w:r>
      <w:r>
        <w:rPr>
          <w:rFonts w:hint="eastAsia" w:ascii="新宋体" w:hAnsi="新宋体" w:eastAsia="新宋体"/>
          <w:sz w:val="28"/>
          <w:szCs w:val="28"/>
        </w:rPr>
        <w:t>号，20</w:t>
      </w:r>
      <w:r>
        <w:rPr>
          <w:rFonts w:hint="eastAsia" w:ascii="新宋体" w:hAnsi="新宋体" w:eastAsia="新宋体"/>
          <w:sz w:val="28"/>
          <w:szCs w:val="28"/>
          <w:lang w:val="en-US" w:eastAsia="zh-CN"/>
        </w:rPr>
        <w:t>24</w:t>
      </w:r>
      <w:r>
        <w:rPr>
          <w:rFonts w:hint="eastAsia" w:ascii="新宋体" w:hAnsi="新宋体" w:eastAsia="新宋体"/>
          <w:sz w:val="28"/>
          <w:szCs w:val="28"/>
        </w:rPr>
        <w:t>年</w:t>
      </w:r>
      <w:r>
        <w:rPr>
          <w:rFonts w:hint="eastAsia" w:ascii="新宋体" w:hAnsi="新宋体" w:eastAsia="新宋体"/>
          <w:sz w:val="28"/>
          <w:szCs w:val="28"/>
          <w:lang w:val="en-US" w:eastAsia="zh-CN"/>
        </w:rPr>
        <w:t>3</w:t>
      </w:r>
      <w:r>
        <w:rPr>
          <w:rFonts w:hint="eastAsia" w:ascii="新宋体" w:hAnsi="新宋体" w:eastAsia="新宋体"/>
          <w:sz w:val="28"/>
          <w:szCs w:val="28"/>
        </w:rPr>
        <w:t>月1日起施行</w:t>
      </w:r>
      <w:r>
        <w:rPr>
          <w:rFonts w:hint="eastAsia" w:ascii="新宋体" w:hAnsi="新宋体" w:eastAsia="新宋体"/>
          <w:sz w:val="28"/>
          <w:szCs w:val="20"/>
        </w:rPr>
        <w:t>）</w:t>
      </w:r>
      <w:r>
        <w:rPr>
          <w:rFonts w:hint="eastAsia" w:ascii="新宋体" w:hAnsi="新宋体" w:eastAsia="新宋体"/>
          <w:sz w:val="28"/>
          <w:szCs w:val="28"/>
        </w:rPr>
        <w:t>。</w:t>
      </w:r>
    </w:p>
    <w:p w14:paraId="2CDD0C61">
      <w:pPr>
        <w:numPr>
          <w:ilvl w:val="0"/>
          <w:numId w:val="2"/>
        </w:numPr>
        <w:tabs>
          <w:tab w:val="left" w:pos="900"/>
        </w:tabs>
        <w:adjustRightInd w:val="0"/>
        <w:snapToGrid w:val="0"/>
        <w:spacing w:line="500" w:lineRule="exact"/>
        <w:ind w:left="280" w:leftChars="0" w:firstLine="560" w:firstLineChars="0"/>
        <w:jc w:val="left"/>
        <w:rPr>
          <w:rFonts w:ascii="新宋体" w:hAnsi="新宋体" w:eastAsia="新宋体"/>
          <w:sz w:val="28"/>
          <w:szCs w:val="28"/>
        </w:rPr>
      </w:pPr>
      <w:r>
        <w:rPr>
          <w:rFonts w:hint="eastAsia" w:ascii="新宋体" w:hAnsi="新宋体" w:eastAsia="新宋体"/>
          <w:sz w:val="28"/>
          <w:szCs w:val="20"/>
        </w:rPr>
        <w:t>《安全生产责任保险实施办法》（应急〔2025〕27号，2025年4月2日开始实施）。</w:t>
      </w:r>
    </w:p>
    <w:p w14:paraId="7D13E3EF">
      <w:pPr>
        <w:pStyle w:val="4"/>
        <w:spacing w:afterLines="100" w:line="500" w:lineRule="exact"/>
        <w:rPr>
          <w:rFonts w:ascii="黑体" w:hAnsi="宋体"/>
          <w:kern w:val="3"/>
          <w:sz w:val="28"/>
          <w:szCs w:val="28"/>
        </w:rPr>
      </w:pPr>
      <w:bookmarkStart w:id="37" w:name="_Toc71894858"/>
      <w:bookmarkStart w:id="38" w:name="_Toc46241104"/>
      <w:bookmarkStart w:id="39" w:name="_Toc380671065"/>
      <w:bookmarkStart w:id="40" w:name="_Toc4291"/>
      <w:bookmarkStart w:id="41" w:name="_Toc378262323"/>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.3地方法规及文件</w:t>
      </w:r>
      <w:bookmarkEnd w:id="37"/>
      <w:bookmarkEnd w:id="38"/>
      <w:bookmarkEnd w:id="39"/>
      <w:bookmarkEnd w:id="40"/>
      <w:bookmarkEnd w:id="41"/>
      <w:bookmarkStart w:id="599" w:name="_GoBack"/>
      <w:bookmarkEnd w:id="599"/>
    </w:p>
    <w:p w14:paraId="3D8CFC75">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8"/>
        </w:rPr>
      </w:pPr>
      <w:r>
        <w:rPr>
          <w:rFonts w:hint="eastAsia" w:ascii="新宋体" w:hAnsi="新宋体" w:eastAsia="新宋体"/>
          <w:sz w:val="28"/>
          <w:szCs w:val="21"/>
        </w:rPr>
        <w:t>《云南省安全生产条例》（云南省第十二届人民代表大会常务委员会公告第（63）号，</w:t>
      </w:r>
      <w:r>
        <w:rPr>
          <w:rFonts w:ascii="新宋体" w:hAnsi="新宋体" w:eastAsia="新宋体"/>
          <w:sz w:val="28"/>
          <w:szCs w:val="21"/>
        </w:rPr>
        <w:t>20</w:t>
      </w:r>
      <w:r>
        <w:rPr>
          <w:rFonts w:hint="eastAsia" w:ascii="新宋体" w:hAnsi="新宋体" w:eastAsia="新宋体"/>
          <w:sz w:val="28"/>
          <w:szCs w:val="21"/>
        </w:rPr>
        <w:t>1</w:t>
      </w:r>
      <w:r>
        <w:rPr>
          <w:rFonts w:ascii="新宋体" w:hAnsi="新宋体" w:eastAsia="新宋体"/>
          <w:sz w:val="28"/>
          <w:szCs w:val="21"/>
        </w:rPr>
        <w:t>8</w:t>
      </w:r>
      <w:r>
        <w:rPr>
          <w:rFonts w:hint="eastAsia" w:ascii="新宋体" w:hAnsi="新宋体" w:eastAsia="新宋体"/>
          <w:sz w:val="28"/>
          <w:szCs w:val="21"/>
        </w:rPr>
        <w:t>年</w:t>
      </w:r>
      <w:r>
        <w:rPr>
          <w:rFonts w:ascii="新宋体" w:hAnsi="新宋体" w:eastAsia="新宋体"/>
          <w:sz w:val="28"/>
          <w:szCs w:val="21"/>
        </w:rPr>
        <w:t>1</w:t>
      </w:r>
      <w:r>
        <w:rPr>
          <w:rFonts w:hint="eastAsia" w:ascii="新宋体" w:hAnsi="新宋体" w:eastAsia="新宋体"/>
          <w:sz w:val="28"/>
          <w:szCs w:val="21"/>
        </w:rPr>
        <w:t>月</w:t>
      </w:r>
      <w:r>
        <w:rPr>
          <w:rFonts w:ascii="新宋体" w:hAnsi="新宋体" w:eastAsia="新宋体"/>
          <w:sz w:val="28"/>
          <w:szCs w:val="21"/>
        </w:rPr>
        <w:t>1</w:t>
      </w:r>
      <w:r>
        <w:rPr>
          <w:rFonts w:hint="eastAsia" w:ascii="新宋体" w:hAnsi="新宋体" w:eastAsia="新宋体"/>
          <w:sz w:val="28"/>
          <w:szCs w:val="21"/>
        </w:rPr>
        <w:t>日起施行）；</w:t>
      </w:r>
    </w:p>
    <w:p w14:paraId="6472E845">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1"/>
        </w:rPr>
        <w:t>《关于在全省高危行业推行人身意外伤害保险的通知》（云安监管</w:t>
      </w:r>
      <w:r>
        <w:rPr>
          <w:rFonts w:ascii="新宋体" w:hAnsi="新宋体" w:eastAsia="新宋体"/>
          <w:sz w:val="28"/>
          <w:szCs w:val="21"/>
        </w:rPr>
        <w:t>[2008]102</w:t>
      </w:r>
      <w:r>
        <w:rPr>
          <w:rFonts w:hint="eastAsia" w:ascii="新宋体" w:hAnsi="新宋体" w:eastAsia="新宋体"/>
          <w:sz w:val="28"/>
          <w:szCs w:val="21"/>
        </w:rPr>
        <w:t>号）；</w:t>
      </w:r>
    </w:p>
    <w:p w14:paraId="46DEC0B8">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8"/>
        </w:rPr>
        <w:t>《云南省人民政府贯彻落实国务院关于进一步加强企业安全生产工作通知的实施意见》（云政发</w:t>
      </w:r>
      <w:r>
        <w:rPr>
          <w:rFonts w:ascii="新宋体" w:hAnsi="新宋体" w:eastAsia="新宋体"/>
          <w:sz w:val="28"/>
          <w:szCs w:val="28"/>
        </w:rPr>
        <w:t>[2010]157</w:t>
      </w:r>
      <w:r>
        <w:rPr>
          <w:rFonts w:hint="eastAsia" w:ascii="新宋体" w:hAnsi="新宋体" w:eastAsia="新宋体"/>
          <w:sz w:val="28"/>
          <w:szCs w:val="28"/>
        </w:rPr>
        <w:t>号）；</w:t>
      </w:r>
    </w:p>
    <w:p w14:paraId="18117F8E">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《云南省人民政府办公厅关于进一步加强危险化学品企业安全生产工作的实施意见》（云政办发</w:t>
      </w:r>
      <w:r>
        <w:rPr>
          <w:rFonts w:ascii="新宋体" w:hAnsi="新宋体" w:eastAsia="新宋体"/>
          <w:snapToGrid w:val="0"/>
          <w:sz w:val="28"/>
          <w:szCs w:val="28"/>
        </w:rPr>
        <w:t>[2011]112</w:t>
      </w:r>
      <w:r>
        <w:rPr>
          <w:rFonts w:hint="eastAsia" w:ascii="新宋体" w:hAnsi="新宋体" w:eastAsia="新宋体"/>
          <w:snapToGrid w:val="0"/>
          <w:sz w:val="28"/>
          <w:szCs w:val="28"/>
        </w:rPr>
        <w:t>号）；</w:t>
      </w:r>
    </w:p>
    <w:p w14:paraId="58398338">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kern w:val="20"/>
          <w:sz w:val="28"/>
        </w:rPr>
      </w:pPr>
      <w:r>
        <w:rPr>
          <w:rFonts w:hint="eastAsia" w:ascii="新宋体" w:hAnsi="新宋体" w:eastAsia="新宋体"/>
          <w:snapToGrid w:val="0"/>
          <w:sz w:val="28"/>
          <w:szCs w:val="28"/>
        </w:rPr>
        <w:t>《</w:t>
      </w:r>
      <w:r>
        <w:rPr>
          <w:rFonts w:hint="eastAsia" w:ascii="新宋体" w:hAnsi="新宋体" w:eastAsia="新宋体"/>
          <w:snapToGrid w:val="0"/>
          <w:kern w:val="20"/>
          <w:sz w:val="28"/>
        </w:rPr>
        <w:t>云南省安全生产监督管理局关于危险化学品经营行政许可有关事项的通知》（云安监管〔2013〕13号）；</w:t>
      </w:r>
    </w:p>
    <w:p w14:paraId="256D6F27">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ascii="新宋体" w:hAnsi="新宋体" w:eastAsia="新宋体"/>
          <w:snapToGrid w:val="0"/>
          <w:sz w:val="28"/>
          <w:szCs w:val="28"/>
        </w:rPr>
        <w:t>《关于转发国家加快推进加油站地下油罐防渗改造工作文件的通知》（云环发 〔2017〕50号，2017年12月27日下发）；</w:t>
      </w:r>
    </w:p>
    <w:p w14:paraId="38EAC1F3">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napToGrid w:val="0"/>
          <w:sz w:val="28"/>
          <w:szCs w:val="28"/>
        </w:rPr>
        <w:t>《关于印发云南省危险化学品生产（储存）企业安全风险分级标准和安全风险分级指导标准的通知》（云安监管〔2017〕75号）；</w:t>
      </w:r>
    </w:p>
    <w:p w14:paraId="41DB8620">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《云南省安全生产监督管理局转发应急管理部关于印发危险化学品生产储存企业安全风险评估诊断分级指南（试行）的通知》（云安监管〔2018〕29号）</w:t>
      </w:r>
      <w:r>
        <w:rPr>
          <w:rFonts w:hint="eastAsia" w:ascii="新宋体" w:hAnsi="新宋体" w:eastAsia="新宋体"/>
          <w:snapToGrid w:val="0"/>
          <w:sz w:val="28"/>
          <w:szCs w:val="28"/>
        </w:rPr>
        <w:t>；</w:t>
      </w:r>
    </w:p>
    <w:p w14:paraId="15CC33CC">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《云南省人民政府关于印发云南省生产经营单位安全生产主体责任规定的通知》 (云政规〔2022〕4号)</w:t>
      </w:r>
      <w:r>
        <w:rPr>
          <w:rFonts w:hint="eastAsia" w:ascii="新宋体" w:hAnsi="新宋体" w:eastAsia="新宋体"/>
          <w:snapToGrid w:val="0"/>
          <w:sz w:val="28"/>
          <w:szCs w:val="28"/>
        </w:rPr>
        <w:t>；</w:t>
      </w:r>
    </w:p>
    <w:p w14:paraId="28463990">
      <w:pPr>
        <w:numPr>
          <w:ilvl w:val="0"/>
          <w:numId w:val="3"/>
        </w:numPr>
        <w:tabs>
          <w:tab w:val="right" w:pos="8306"/>
        </w:tabs>
        <w:adjustRightInd w:val="0"/>
        <w:snapToGrid w:val="0"/>
        <w:spacing w:line="500" w:lineRule="exact"/>
        <w:ind w:left="70" w:leftChars="0" w:firstLine="560" w:firstLineChars="0"/>
        <w:jc w:val="left"/>
        <w:rPr>
          <w:snapToGrid w:val="0"/>
          <w:sz w:val="28"/>
          <w:szCs w:val="28"/>
        </w:rPr>
      </w:pPr>
      <w:r>
        <w:rPr>
          <w:rFonts w:hint="eastAsia"/>
          <w:sz w:val="28"/>
          <w:szCs w:val="28"/>
        </w:rPr>
        <w:t>《云南省生产安全事故应急办法》(云政</w:t>
      </w:r>
      <w:r>
        <w:rPr>
          <w:rFonts w:hint="eastAsia"/>
          <w:sz w:val="28"/>
          <w:szCs w:val="28"/>
          <w:lang w:val="en-US" w:eastAsia="zh-CN"/>
        </w:rPr>
        <w:t>令227</w:t>
      </w:r>
      <w:r>
        <w:rPr>
          <w:rFonts w:hint="eastAsia"/>
          <w:sz w:val="28"/>
          <w:szCs w:val="28"/>
        </w:rPr>
        <w:t>号)；2024年2月1日起施行</w:t>
      </w:r>
      <w:r>
        <w:rPr>
          <w:rFonts w:hint="eastAsia"/>
          <w:sz w:val="28"/>
          <w:szCs w:val="28"/>
          <w:lang w:eastAsia="zh-CN"/>
        </w:rPr>
        <w:t>。</w:t>
      </w:r>
    </w:p>
    <w:p w14:paraId="1DF80F14">
      <w:pPr>
        <w:pStyle w:val="4"/>
        <w:spacing w:afterLines="100" w:line="500" w:lineRule="exact"/>
        <w:rPr>
          <w:rFonts w:ascii="黑体" w:hAnsi="宋体"/>
          <w:kern w:val="3"/>
          <w:sz w:val="28"/>
          <w:szCs w:val="28"/>
        </w:rPr>
      </w:pPr>
      <w:bookmarkStart w:id="42" w:name="_Toc11043"/>
      <w:bookmarkStart w:id="43" w:name="_Toc378262324"/>
      <w:bookmarkStart w:id="44" w:name="_Toc380671066"/>
      <w:bookmarkStart w:id="45" w:name="_Toc46241105"/>
      <w:bookmarkStart w:id="46" w:name="_Toc71894859"/>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.4国家标准</w:t>
      </w:r>
      <w:bookmarkEnd w:id="42"/>
      <w:bookmarkEnd w:id="43"/>
      <w:bookmarkEnd w:id="44"/>
      <w:bookmarkEnd w:id="45"/>
      <w:bookmarkEnd w:id="46"/>
    </w:p>
    <w:p w14:paraId="183BB23E">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《汽车加油加气加氢站技术标准》（GB50156-2021）；</w:t>
      </w:r>
    </w:p>
    <w:p w14:paraId="0E0F3E4C">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《化学品危险性评价通则》（</w:t>
      </w:r>
      <w:r>
        <w:rPr>
          <w:rFonts w:ascii="新宋体" w:hAnsi="新宋体" w:eastAsia="新宋体"/>
          <w:snapToGrid w:val="0"/>
          <w:sz w:val="28"/>
          <w:szCs w:val="28"/>
        </w:rPr>
        <w:t>GB/T22225-2008</w:t>
      </w:r>
      <w:r>
        <w:rPr>
          <w:rFonts w:hint="eastAsia" w:ascii="新宋体" w:hAnsi="新宋体" w:eastAsia="新宋体"/>
          <w:snapToGrid w:val="0"/>
          <w:sz w:val="28"/>
          <w:szCs w:val="28"/>
        </w:rPr>
        <w:t>）；</w:t>
      </w:r>
    </w:p>
    <w:p w14:paraId="3B83CC9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《危险化学品目录》（20</w:t>
      </w:r>
      <w:r>
        <w:rPr>
          <w:rFonts w:hint="eastAsia" w:ascii="新宋体" w:hAnsi="新宋体" w:eastAsia="新宋体"/>
          <w:snapToGrid w:val="0"/>
          <w:sz w:val="28"/>
          <w:szCs w:val="28"/>
          <w:lang w:val="en-US" w:eastAsia="zh-CN"/>
        </w:rPr>
        <w:t>22调整</w:t>
      </w:r>
      <w:r>
        <w:rPr>
          <w:rFonts w:hint="eastAsia" w:ascii="新宋体" w:hAnsi="新宋体" w:eastAsia="新宋体"/>
          <w:snapToGrid w:val="0"/>
          <w:sz w:val="28"/>
          <w:szCs w:val="28"/>
        </w:rPr>
        <w:t>版）；</w:t>
      </w:r>
    </w:p>
    <w:p w14:paraId="7A452653">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《危险化学品重大危险源辨识》（</w:t>
      </w:r>
      <w:r>
        <w:rPr>
          <w:rFonts w:ascii="新宋体" w:hAnsi="新宋体" w:eastAsia="新宋体"/>
          <w:snapToGrid w:val="0"/>
          <w:sz w:val="28"/>
          <w:szCs w:val="28"/>
        </w:rPr>
        <w:t>GB18218-</w:t>
      </w:r>
      <w:r>
        <w:rPr>
          <w:rFonts w:hint="eastAsia" w:ascii="新宋体" w:hAnsi="新宋体" w:eastAsia="新宋体"/>
          <w:snapToGrid w:val="0"/>
          <w:sz w:val="28"/>
          <w:szCs w:val="28"/>
        </w:rPr>
        <w:t>2018）；</w:t>
      </w:r>
    </w:p>
    <w:p w14:paraId="698B38BF">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《建筑物防雷设计规范》（</w:t>
      </w:r>
      <w:r>
        <w:rPr>
          <w:rFonts w:ascii="新宋体" w:hAnsi="新宋体" w:eastAsia="新宋体"/>
          <w:snapToGrid w:val="0"/>
          <w:sz w:val="28"/>
          <w:szCs w:val="28"/>
        </w:rPr>
        <w:t>GB50057-2010</w:t>
      </w:r>
      <w:r>
        <w:rPr>
          <w:rFonts w:hint="eastAsia" w:ascii="新宋体" w:hAnsi="新宋体" w:eastAsia="新宋体"/>
          <w:snapToGrid w:val="0"/>
          <w:sz w:val="28"/>
          <w:szCs w:val="28"/>
        </w:rPr>
        <w:t>）；</w:t>
      </w:r>
    </w:p>
    <w:p w14:paraId="78636487">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《建筑抗震设计规范（</w:t>
      </w:r>
      <w:r>
        <w:rPr>
          <w:rFonts w:hint="eastAsia" w:ascii="新宋体" w:hAnsi="新宋体" w:eastAsia="新宋体"/>
          <w:snapToGrid w:val="0"/>
          <w:sz w:val="28"/>
          <w:szCs w:val="28"/>
          <w:lang w:val="en-US" w:eastAsia="zh-CN"/>
        </w:rPr>
        <w:t>2024</w:t>
      </w:r>
      <w:r>
        <w:rPr>
          <w:rFonts w:hint="eastAsia" w:ascii="新宋体" w:hAnsi="新宋体" w:eastAsia="新宋体"/>
          <w:snapToGrid w:val="0"/>
          <w:sz w:val="28"/>
          <w:szCs w:val="28"/>
        </w:rPr>
        <w:t>年版）》（GB50011-2010）；</w:t>
      </w:r>
    </w:p>
    <w:p w14:paraId="54020B3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《构筑物抗震设计规范》（GB50191-2012）；</w:t>
      </w:r>
    </w:p>
    <w:p w14:paraId="3D47E37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《防止静电事故通用导则》（GB12158-2006）；</w:t>
      </w:r>
    </w:p>
    <w:p w14:paraId="6FB3FD3D">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《消防安全标志设置要求》（GB15630-1995）；</w:t>
      </w:r>
    </w:p>
    <w:p w14:paraId="6B59991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 第1部分：标志》（GB 13495.1-2015）；</w:t>
      </w:r>
    </w:p>
    <w:p w14:paraId="6804361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《安全标志及其使用导则》（GB2894-2008）；</w:t>
      </w:r>
    </w:p>
    <w:p w14:paraId="1918CD55">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《危险货物品名表》（GB12268-2012）；</w:t>
      </w:r>
    </w:p>
    <w:p w14:paraId="05BC9DB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《化学品分类和标签规范 第7部分：易燃液体》（GB 30000.7-2013）；</w:t>
      </w:r>
    </w:p>
    <w:p w14:paraId="6280486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《爆炸危险环境电力装置设计规范》（GB50058-2014）；</w:t>
      </w:r>
    </w:p>
    <w:p w14:paraId="424719A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《企业职工伤亡事故分类》（GB6441-1986）；</w:t>
      </w:r>
    </w:p>
    <w:p w14:paraId="7BF4BC2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《生产过程危险和有害因素分类与代码》 （GB/T13861-2022）；</w:t>
      </w:r>
    </w:p>
    <w:p w14:paraId="52C94C1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《供配电系统设计规范》(GB50052-2009)；</w:t>
      </w:r>
    </w:p>
    <w:p w14:paraId="60AC754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《液体石油产品静电安全规程》（GB13348-2009）；</w:t>
      </w:r>
    </w:p>
    <w:p w14:paraId="0D9CBFE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《生产经营单位生产安全事故应急预案编制导则》（GB/T 29639-2020）；</w:t>
      </w:r>
    </w:p>
    <w:p w14:paraId="55655C43">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《危险化学品企业特殊作业安全规程》（GB 30871-2022）；</w:t>
      </w:r>
    </w:p>
    <w:p w14:paraId="41A5FF9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《车用柴油》（GB19147-2016）；</w:t>
      </w:r>
    </w:p>
    <w:p w14:paraId="4D98888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《车用汽油》（GB17930-2016）；</w:t>
      </w:r>
    </w:p>
    <w:p w14:paraId="1FE156AD">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《低压配电设计规范》（GB50054-2011）；</w:t>
      </w:r>
    </w:p>
    <w:p w14:paraId="1F72AAF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《用电安全导则》（GBT 13869-2017）。</w:t>
      </w:r>
    </w:p>
    <w:p w14:paraId="6D7689DC">
      <w:pPr>
        <w:pStyle w:val="4"/>
        <w:spacing w:afterLines="100" w:line="500" w:lineRule="exact"/>
        <w:rPr>
          <w:rFonts w:ascii="黑体" w:hAnsi="宋体"/>
          <w:kern w:val="3"/>
          <w:sz w:val="28"/>
          <w:szCs w:val="28"/>
        </w:rPr>
      </w:pPr>
      <w:bookmarkStart w:id="47" w:name="_Toc380671067"/>
      <w:bookmarkStart w:id="48" w:name="_Toc46241106"/>
      <w:bookmarkStart w:id="49" w:name="_Toc378262325"/>
      <w:bookmarkStart w:id="50" w:name="_Toc5558"/>
      <w:bookmarkStart w:id="51" w:name="_Toc71894860"/>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.5行业标准</w:t>
      </w:r>
      <w:bookmarkEnd w:id="47"/>
      <w:bookmarkEnd w:id="48"/>
      <w:bookmarkEnd w:id="49"/>
      <w:bookmarkEnd w:id="50"/>
      <w:bookmarkEnd w:id="51"/>
    </w:p>
    <w:p w14:paraId="0EB6798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《安全评价通则》（</w:t>
      </w:r>
      <w:r>
        <w:rPr>
          <w:rFonts w:ascii="新宋体" w:hAnsi="新宋体" w:eastAsia="新宋体"/>
          <w:sz w:val="28"/>
          <w:szCs w:val="20"/>
        </w:rPr>
        <w:t>AQ8001-2007</w:t>
      </w:r>
      <w:r>
        <w:rPr>
          <w:rFonts w:hint="eastAsia" w:ascii="新宋体" w:hAnsi="新宋体" w:eastAsia="新宋体"/>
          <w:sz w:val="28"/>
          <w:szCs w:val="20"/>
        </w:rPr>
        <w:t>）；</w:t>
      </w:r>
    </w:p>
    <w:p w14:paraId="3435E2C7">
      <w:pPr>
        <w:numPr>
          <w:ilvl w:val="0"/>
          <w:numId w:val="5"/>
        </w:numPr>
        <w:tabs>
          <w:tab w:val="left" w:pos="900"/>
          <w:tab w:val="left" w:pos="1260"/>
          <w:tab w:val="left" w:pos="162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《加油站作业安全规范》（</w:t>
      </w:r>
      <w:r>
        <w:rPr>
          <w:rFonts w:ascii="新宋体" w:hAnsi="新宋体" w:eastAsia="新宋体"/>
          <w:sz w:val="28"/>
          <w:szCs w:val="20"/>
        </w:rPr>
        <w:t>AQ3010-20</w:t>
      </w:r>
      <w:r>
        <w:rPr>
          <w:rFonts w:hint="eastAsia" w:ascii="新宋体" w:hAnsi="新宋体" w:eastAsia="新宋体"/>
          <w:sz w:val="28"/>
          <w:szCs w:val="20"/>
          <w:lang w:val="en-US" w:eastAsia="zh-CN"/>
        </w:rPr>
        <w:t>22</w:t>
      </w:r>
      <w:r>
        <w:rPr>
          <w:rFonts w:hint="eastAsia" w:ascii="新宋体" w:hAnsi="新宋体" w:eastAsia="新宋体"/>
          <w:sz w:val="28"/>
          <w:szCs w:val="20"/>
        </w:rPr>
        <w:t>）；</w:t>
      </w:r>
    </w:p>
    <w:p w14:paraId="45F7DB35">
      <w:pPr>
        <w:numPr>
          <w:ilvl w:val="0"/>
          <w:numId w:val="5"/>
        </w:numPr>
        <w:tabs>
          <w:tab w:val="left" w:pos="900"/>
          <w:tab w:val="left" w:pos="1260"/>
          <w:tab w:val="left" w:pos="1620"/>
        </w:tabs>
        <w:adjustRightInd w:val="0"/>
        <w:snapToGrid w:val="0"/>
        <w:spacing w:line="500" w:lineRule="exact"/>
        <w:ind w:left="0" w:firstLine="560" w:firstLineChars="200"/>
        <w:jc w:val="left"/>
        <w:rPr>
          <w:rStyle w:val="51"/>
          <w:rFonts w:ascii="新宋体" w:hAnsi="新宋体" w:eastAsia="新宋体"/>
          <w:szCs w:val="20"/>
        </w:rPr>
      </w:pPr>
      <w:r>
        <w:rPr>
          <w:rStyle w:val="51"/>
          <w:rFonts w:hint="eastAsia" w:ascii="新宋体" w:hAnsi="新宋体" w:eastAsia="新宋体"/>
        </w:rPr>
        <w:t>《危险场所电气安全防爆规范》（</w:t>
      </w:r>
      <w:r>
        <w:rPr>
          <w:rStyle w:val="51"/>
          <w:rFonts w:ascii="新宋体" w:hAnsi="新宋体" w:eastAsia="新宋体"/>
        </w:rPr>
        <w:t>AQ3009-2007</w:t>
      </w:r>
      <w:r>
        <w:rPr>
          <w:rStyle w:val="51"/>
          <w:rFonts w:hint="eastAsia" w:ascii="新宋体" w:hAnsi="新宋体" w:eastAsia="新宋体"/>
        </w:rPr>
        <w:t>）；</w:t>
      </w:r>
    </w:p>
    <w:p w14:paraId="60F66AB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《石油化工静电接地设计规范》（SH/T3097-2017）；</w:t>
      </w:r>
    </w:p>
    <w:p w14:paraId="0E95C331">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《油罐人工清洗作业安全规程》（QSY 165-2006）；</w:t>
      </w:r>
    </w:p>
    <w:p w14:paraId="040756FF">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《现场设备、工业管道焊接工程施工规范》（</w:t>
      </w:r>
      <w:r>
        <w:rPr>
          <w:rFonts w:ascii="新宋体" w:hAnsi="新宋体" w:eastAsia="新宋体"/>
          <w:sz w:val="28"/>
          <w:szCs w:val="20"/>
        </w:rPr>
        <w:t>GB50236-2011</w:t>
      </w:r>
      <w:r>
        <w:rPr>
          <w:rFonts w:hint="eastAsia" w:ascii="新宋体" w:hAnsi="新宋体" w:eastAsia="新宋体"/>
          <w:sz w:val="28"/>
          <w:szCs w:val="20"/>
        </w:rPr>
        <w:t>）；</w:t>
      </w:r>
    </w:p>
    <w:p w14:paraId="01D78184">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《钢制化工容器结构设计规定》（</w:t>
      </w:r>
      <w:r>
        <w:rPr>
          <w:rFonts w:ascii="新宋体" w:hAnsi="新宋体" w:eastAsia="新宋体"/>
          <w:sz w:val="28"/>
          <w:szCs w:val="20"/>
        </w:rPr>
        <w:t>HG/T20583-2011</w:t>
      </w:r>
      <w:r>
        <w:rPr>
          <w:rFonts w:hint="eastAsia" w:ascii="新宋体" w:hAnsi="新宋体" w:eastAsia="新宋体"/>
          <w:sz w:val="28"/>
          <w:szCs w:val="20"/>
        </w:rPr>
        <w:t>）；</w:t>
      </w:r>
    </w:p>
    <w:p w14:paraId="44E9100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《钢制化工容器制造技术要求》（</w:t>
      </w:r>
      <w:r>
        <w:rPr>
          <w:rFonts w:ascii="新宋体" w:hAnsi="新宋体" w:eastAsia="新宋体"/>
          <w:sz w:val="28"/>
          <w:szCs w:val="20"/>
        </w:rPr>
        <w:t>HG/T20584-2011</w:t>
      </w:r>
      <w:r>
        <w:rPr>
          <w:rFonts w:hint="eastAsia" w:ascii="新宋体" w:hAnsi="新宋体" w:eastAsia="新宋体"/>
          <w:sz w:val="28"/>
          <w:szCs w:val="20"/>
        </w:rPr>
        <w:t>）；</w:t>
      </w:r>
    </w:p>
    <w:p w14:paraId="12A49158">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《钢制焊接常压容器》（NB/T47003.1-2009）；</w:t>
      </w:r>
    </w:p>
    <w:p w14:paraId="1BCA9CE1">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《危险化学品从业单位安全标准化通用规范》（AQ3013-2008）；</w:t>
      </w:r>
    </w:p>
    <w:p w14:paraId="145DE45C">
      <w:pPr>
        <w:numPr>
          <w:ilvl w:val="0"/>
          <w:numId w:val="5"/>
        </w:numPr>
        <w:tabs>
          <w:tab w:val="left" w:pos="900"/>
          <w:tab w:val="left" w:pos="1260"/>
          <w:tab w:val="left" w:pos="1620"/>
        </w:tabs>
        <w:adjustRightInd w:val="0"/>
        <w:snapToGrid w:val="0"/>
        <w:spacing w:line="500" w:lineRule="exact"/>
        <w:jc w:val="left"/>
        <w:rPr>
          <w:sz w:val="28"/>
          <w:szCs w:val="20"/>
        </w:rPr>
      </w:pPr>
      <w:r>
        <w:rPr>
          <w:rFonts w:hint="eastAsia" w:ascii="新宋体" w:hAnsi="新宋体" w:eastAsia="新宋体"/>
          <w:sz w:val="28"/>
          <w:szCs w:val="20"/>
        </w:rPr>
        <w:t>《钢制常压储罐 第一部分：储存对水有污染的易燃和不易燃液体的埋地卧式圆筒形单层和双层储罐》（AQ3020-2008）</w:t>
      </w:r>
      <w:r>
        <w:rPr>
          <w:rFonts w:hint="eastAsia"/>
          <w:sz w:val="28"/>
          <w:szCs w:val="20"/>
        </w:rPr>
        <w:t>；</w:t>
      </w:r>
    </w:p>
    <w:p w14:paraId="0B609A36">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fldChar w:fldCharType="begin"/>
      </w:r>
      <w:r>
        <w:instrText xml:space="preserve"> HYPERLINK "https://www.mem.gov.cn/fw/flfgbz/bz/bzwb/202101/P020210118515673231826.pdf" </w:instrText>
      </w:r>
      <w:r>
        <w:fldChar w:fldCharType="separate"/>
      </w:r>
      <w:r>
        <w:rPr>
          <w:rFonts w:hint="eastAsia" w:ascii="新宋体" w:hAnsi="新宋体" w:eastAsia="新宋体"/>
          <w:sz w:val="28"/>
          <w:szCs w:val="20"/>
        </w:rPr>
        <w:t>《汽车加油加气站消防安全管理</w:t>
      </w:r>
      <w:r>
        <w:rPr>
          <w:rFonts w:hint="eastAsia" w:ascii="新宋体" w:hAnsi="新宋体" w:eastAsia="新宋体"/>
          <w:sz w:val="28"/>
          <w:szCs w:val="20"/>
        </w:rPr>
        <w:fldChar w:fldCharType="end"/>
      </w:r>
      <w:r>
        <w:rPr>
          <w:rFonts w:hint="eastAsia" w:ascii="新宋体" w:hAnsi="新宋体" w:eastAsia="新宋体"/>
          <w:sz w:val="28"/>
          <w:szCs w:val="20"/>
        </w:rPr>
        <w:t>》（XF/T3004-2020）；</w:t>
      </w:r>
    </w:p>
    <w:p w14:paraId="3EC0C908">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《危险场所电气安全防爆规范》（AQ3009-2007）。</w:t>
      </w:r>
    </w:p>
    <w:bookmarkEnd w:id="30"/>
    <w:bookmarkEnd w:id="31"/>
    <w:p w14:paraId="0CB13C19">
      <w:pPr>
        <w:pStyle w:val="4"/>
        <w:spacing w:afterLines="100" w:line="500" w:lineRule="exact"/>
        <w:rPr>
          <w:rFonts w:ascii="黑体" w:hAnsi="宋体"/>
          <w:kern w:val="3"/>
          <w:sz w:val="28"/>
          <w:szCs w:val="28"/>
        </w:rPr>
      </w:pPr>
      <w:bookmarkStart w:id="52" w:name="_Toc378262326"/>
      <w:bookmarkStart w:id="53" w:name="_Toc71894861"/>
      <w:bookmarkStart w:id="54" w:name="_Toc46241107"/>
      <w:bookmarkStart w:id="55" w:name="_Toc20888"/>
      <w:bookmarkStart w:id="56" w:name="_Toc380671068"/>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.6其它依据</w:t>
      </w:r>
      <w:bookmarkEnd w:id="52"/>
      <w:bookmarkEnd w:id="53"/>
      <w:bookmarkEnd w:id="54"/>
      <w:bookmarkEnd w:id="55"/>
      <w:bookmarkEnd w:id="56"/>
    </w:p>
    <w:p w14:paraId="1772031C">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安全评价委托书；</w:t>
      </w:r>
    </w:p>
    <w:p w14:paraId="7354CCDD">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《营业执照》；</w:t>
      </w:r>
    </w:p>
    <w:p w14:paraId="1233DB63">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《危险化学品经营许可证》；</w:t>
      </w:r>
    </w:p>
    <w:p w14:paraId="39CFF3C6">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评价组现场收集的其他资料。</w:t>
      </w:r>
    </w:p>
    <w:p w14:paraId="58AB9BC1">
      <w:pPr>
        <w:pStyle w:val="4"/>
        <w:spacing w:afterLines="100" w:line="500" w:lineRule="exact"/>
        <w:jc w:val="center"/>
        <w:rPr>
          <w:rFonts w:ascii="楷体_GB2312" w:hAnsi="宋体" w:eastAsia="楷体_GB2312"/>
          <w:kern w:val="3"/>
        </w:rPr>
      </w:pPr>
      <w:bookmarkStart w:id="57" w:name="_Toc123286487"/>
      <w:bookmarkStart w:id="58" w:name="_Toc71894862"/>
      <w:bookmarkStart w:id="59" w:name="_Toc76028316"/>
      <w:bookmarkStart w:id="60" w:name="_Toc350843711"/>
      <w:r>
        <w:rPr>
          <w:rFonts w:ascii="楷体_GB2312" w:hAnsi="宋体" w:eastAsia="楷体_GB2312"/>
          <w:kern w:val="3"/>
        </w:rPr>
        <w:t>1.2安全评价的目的及范围</w:t>
      </w:r>
      <w:bookmarkEnd w:id="57"/>
      <w:bookmarkEnd w:id="58"/>
      <w:bookmarkEnd w:id="59"/>
      <w:bookmarkEnd w:id="60"/>
    </w:p>
    <w:p w14:paraId="3680F595">
      <w:pPr>
        <w:pStyle w:val="4"/>
        <w:spacing w:afterLines="100" w:line="500" w:lineRule="exact"/>
        <w:rPr>
          <w:rFonts w:ascii="黑体" w:hAnsi="宋体"/>
          <w:kern w:val="3"/>
          <w:sz w:val="28"/>
          <w:szCs w:val="28"/>
        </w:rPr>
      </w:pPr>
      <w:bookmarkStart w:id="61" w:name="_Toc350843712"/>
      <w:bookmarkStart w:id="62" w:name="_Toc148261586"/>
      <w:bookmarkStart w:id="63" w:name="_Toc71894863"/>
      <w:r>
        <w:rPr>
          <w:rFonts w:ascii="黑体" w:hAnsi="宋体"/>
          <w:kern w:val="3"/>
          <w:sz w:val="28"/>
          <w:szCs w:val="28"/>
        </w:rPr>
        <w:t>1.2.1安全评价目的</w:t>
      </w:r>
      <w:bookmarkEnd w:id="61"/>
      <w:bookmarkEnd w:id="62"/>
      <w:bookmarkEnd w:id="63"/>
    </w:p>
    <w:p w14:paraId="27E4AC6A">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为</w:t>
      </w:r>
      <w:r>
        <w:rPr>
          <w:rFonts w:ascii="宋体" w:hAnsi="宋体"/>
          <w:kern w:val="3"/>
          <w:sz w:val="28"/>
          <w:szCs w:val="28"/>
        </w:rPr>
        <w:t>贯彻</w:t>
      </w:r>
      <w:r>
        <w:rPr>
          <w:rFonts w:hint="eastAsia" w:ascii="宋体" w:hAnsi="宋体"/>
          <w:sz w:val="28"/>
          <w:szCs w:val="28"/>
        </w:rPr>
        <w:t>“安全第一，预防为主，综合治理”</w:t>
      </w:r>
      <w:r>
        <w:rPr>
          <w:rFonts w:ascii="宋体" w:hAnsi="宋体"/>
          <w:kern w:val="3"/>
          <w:sz w:val="28"/>
          <w:szCs w:val="28"/>
        </w:rPr>
        <w:t>的方针，对经营单位在业务活动中存在的主要危险、有害因素进行辨识和分析，依据国家和相关行业的法律、法规、标准，指出安全隐患，提出科学、合理的劳动卫生技术措施和管理对策，并出具安全</w:t>
      </w:r>
      <w:r>
        <w:rPr>
          <w:rFonts w:hint="eastAsia" w:ascii="宋体" w:hAnsi="宋体"/>
          <w:kern w:val="3"/>
          <w:sz w:val="28"/>
          <w:szCs w:val="28"/>
        </w:rPr>
        <w:t>现状</w:t>
      </w:r>
      <w:r>
        <w:rPr>
          <w:rFonts w:ascii="宋体" w:hAnsi="宋体"/>
          <w:kern w:val="3"/>
          <w:sz w:val="28"/>
          <w:szCs w:val="28"/>
        </w:rPr>
        <w:t>评价报告，以提高</w:t>
      </w:r>
      <w:r>
        <w:rPr>
          <w:rFonts w:hint="eastAsia" w:ascii="宋体" w:hAnsi="宋体"/>
          <w:kern w:val="3"/>
          <w:sz w:val="28"/>
          <w:szCs w:val="28"/>
        </w:rPr>
        <w:t>加油站经营</w:t>
      </w:r>
      <w:r>
        <w:rPr>
          <w:rFonts w:ascii="宋体" w:hAnsi="宋体"/>
          <w:kern w:val="3"/>
          <w:sz w:val="28"/>
          <w:szCs w:val="28"/>
        </w:rPr>
        <w:t>过程的安全程度，满足安全运营的要求。为</w:t>
      </w:r>
      <w:r>
        <w:rPr>
          <w:rFonts w:hint="eastAsia" w:ascii="宋体" w:hAnsi="宋体"/>
          <w:kern w:val="3"/>
          <w:sz w:val="28"/>
          <w:szCs w:val="28"/>
        </w:rPr>
        <w:t>应急</w:t>
      </w:r>
      <w:r>
        <w:rPr>
          <w:rFonts w:ascii="宋体" w:hAnsi="宋体"/>
          <w:kern w:val="3"/>
          <w:sz w:val="28"/>
          <w:szCs w:val="28"/>
        </w:rPr>
        <w:t>管理部门进行安全监督和管理，并发放危险化学品经营许可证提供参考意见。</w:t>
      </w:r>
    </w:p>
    <w:p w14:paraId="20A85E4D">
      <w:pPr>
        <w:pStyle w:val="4"/>
        <w:spacing w:afterLines="100" w:line="500" w:lineRule="exact"/>
        <w:rPr>
          <w:rFonts w:ascii="黑体" w:hAnsi="宋体"/>
          <w:kern w:val="3"/>
          <w:sz w:val="28"/>
          <w:szCs w:val="28"/>
        </w:rPr>
      </w:pPr>
      <w:bookmarkStart w:id="64" w:name="_Toc350843713"/>
      <w:bookmarkStart w:id="65" w:name="_Toc148261587"/>
      <w:bookmarkStart w:id="66" w:name="_Toc71894864"/>
      <w:r>
        <w:rPr>
          <w:rFonts w:ascii="黑体" w:hAnsi="宋体"/>
          <w:kern w:val="3"/>
          <w:sz w:val="28"/>
          <w:szCs w:val="28"/>
        </w:rPr>
        <w:t>1.2.2安全评价范围</w:t>
      </w:r>
      <w:bookmarkEnd w:id="64"/>
      <w:bookmarkEnd w:id="65"/>
      <w:bookmarkEnd w:id="66"/>
    </w:p>
    <w:p w14:paraId="4D9E496D">
      <w:pPr>
        <w:pStyle w:val="32"/>
        <w:adjustRightInd w:val="0"/>
        <w:snapToGrid w:val="0"/>
        <w:spacing w:after="0" w:line="500" w:lineRule="exact"/>
        <w:ind w:firstLine="560" w:firstLineChars="200"/>
        <w:rPr>
          <w:rFonts w:ascii="宋体" w:hAnsi="宋体"/>
          <w:snapToGrid w:val="0"/>
          <w:kern w:val="0"/>
          <w:sz w:val="28"/>
          <w:szCs w:val="28"/>
        </w:rPr>
      </w:pPr>
      <w:r>
        <w:rPr>
          <w:rFonts w:ascii="宋体" w:hAnsi="宋体"/>
          <w:snapToGrid w:val="0"/>
          <w:kern w:val="0"/>
          <w:sz w:val="28"/>
          <w:szCs w:val="28"/>
        </w:rPr>
        <w:t>本</w:t>
      </w:r>
      <w:r>
        <w:rPr>
          <w:rFonts w:hint="eastAsia" w:ascii="宋体" w:hAnsi="宋体"/>
          <w:snapToGrid w:val="0"/>
          <w:kern w:val="0"/>
          <w:sz w:val="28"/>
          <w:szCs w:val="28"/>
        </w:rPr>
        <w:t>评价报告以</w:t>
      </w:r>
      <w:r>
        <w:rPr>
          <w:rFonts w:hint="eastAsia" w:ascii="宋体" w:hAnsi="宋体"/>
          <w:kern w:val="3"/>
          <w:sz w:val="28"/>
          <w:szCs w:val="28"/>
          <w:lang w:eastAsia="zh-CN"/>
        </w:rPr>
        <w:t>盐津县豆沙狮子湾加油站</w:t>
      </w:r>
      <w:r>
        <w:rPr>
          <w:rFonts w:hint="eastAsia" w:ascii="宋体" w:hAnsi="宋体"/>
          <w:snapToGrid w:val="0"/>
          <w:kern w:val="0"/>
          <w:sz w:val="28"/>
          <w:szCs w:val="28"/>
        </w:rPr>
        <w:t>的</w:t>
      </w:r>
      <w:r>
        <w:rPr>
          <w:rFonts w:hint="eastAsia" w:ascii="宋体" w:hAnsi="宋体"/>
          <w:sz w:val="28"/>
        </w:rPr>
        <w:t>工艺系统</w:t>
      </w:r>
      <w:r>
        <w:rPr>
          <w:rFonts w:hint="eastAsia" w:ascii="宋体" w:hAnsi="宋体"/>
          <w:snapToGrid w:val="0"/>
          <w:kern w:val="0"/>
          <w:sz w:val="28"/>
          <w:szCs w:val="28"/>
        </w:rPr>
        <w:t>装置、设施和与该</w:t>
      </w:r>
      <w:r>
        <w:rPr>
          <w:rFonts w:ascii="宋体" w:hAnsi="宋体"/>
          <w:snapToGrid w:val="0"/>
          <w:kern w:val="0"/>
          <w:sz w:val="28"/>
          <w:szCs w:val="28"/>
        </w:rPr>
        <w:t>工程</w:t>
      </w:r>
      <w:r>
        <w:rPr>
          <w:rFonts w:hint="eastAsia" w:ascii="宋体" w:hAnsi="宋体"/>
          <w:snapToGrid w:val="0"/>
          <w:kern w:val="0"/>
          <w:sz w:val="28"/>
          <w:szCs w:val="28"/>
        </w:rPr>
        <w:t>相关的其他配套公用工程、生产辅助设施（包括相关的总图、区域布置、建筑、结构、给排水、电气、消防、站内运输）为</w:t>
      </w:r>
      <w:r>
        <w:rPr>
          <w:rFonts w:ascii="宋体" w:hAnsi="宋体"/>
          <w:snapToGrid w:val="0"/>
          <w:kern w:val="0"/>
          <w:sz w:val="28"/>
          <w:szCs w:val="28"/>
        </w:rPr>
        <w:t>评价</w:t>
      </w:r>
      <w:r>
        <w:rPr>
          <w:rFonts w:hint="eastAsia" w:ascii="宋体" w:hAnsi="宋体"/>
          <w:snapToGrid w:val="0"/>
          <w:kern w:val="0"/>
          <w:sz w:val="28"/>
          <w:szCs w:val="28"/>
        </w:rPr>
        <w:t>范围，对该项目的总平面布局、自然条件、成品油储存经营条件、安全设施设备等的安全状况等进行安全现状评价。</w:t>
      </w:r>
    </w:p>
    <w:p w14:paraId="248AE7EA">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凡涉及加油站的站外运输、环境保护和消防等方面的内容，在评价过程中会有所提及，但不在本次评价范围内，应以政府有关部门批准或认可的危险化学品生产、运输、经营许可，环境影响评价和消防设计等文件资料为准</w:t>
      </w:r>
      <w:r>
        <w:rPr>
          <w:rFonts w:ascii="宋体" w:hAnsi="宋体"/>
          <w:snapToGrid w:val="0"/>
          <w:kern w:val="0"/>
          <w:sz w:val="28"/>
          <w:szCs w:val="28"/>
        </w:rPr>
        <w:t>。</w:t>
      </w:r>
    </w:p>
    <w:p w14:paraId="733E379F">
      <w:pPr>
        <w:pStyle w:val="4"/>
        <w:spacing w:afterLines="100" w:line="500" w:lineRule="exact"/>
        <w:jc w:val="center"/>
        <w:rPr>
          <w:rFonts w:ascii="楷体_GB2312" w:hAnsi="宋体" w:eastAsia="楷体_GB2312"/>
          <w:kern w:val="3"/>
        </w:rPr>
      </w:pPr>
      <w:bookmarkStart w:id="67" w:name="_Toc71894865"/>
      <w:bookmarkStart w:id="68" w:name="_Toc76028317"/>
      <w:bookmarkStart w:id="69" w:name="_Toc350843714"/>
      <w:bookmarkStart w:id="70" w:name="_Toc123286488"/>
      <w:r>
        <w:rPr>
          <w:rFonts w:ascii="楷体_GB2312" w:hAnsi="宋体" w:eastAsia="楷体_GB2312"/>
          <w:kern w:val="3"/>
        </w:rPr>
        <w:t>1.</w:t>
      </w:r>
      <w:r>
        <w:rPr>
          <w:rFonts w:hint="eastAsia" w:ascii="楷体_GB2312" w:hAnsi="宋体" w:eastAsia="楷体_GB2312"/>
          <w:kern w:val="3"/>
        </w:rPr>
        <w:t>3</w:t>
      </w:r>
      <w:r>
        <w:rPr>
          <w:rFonts w:ascii="楷体_GB2312" w:hAnsi="宋体" w:eastAsia="楷体_GB2312"/>
          <w:kern w:val="3"/>
        </w:rPr>
        <w:t>安全评价程序</w:t>
      </w:r>
      <w:bookmarkEnd w:id="67"/>
      <w:bookmarkEnd w:id="68"/>
      <w:bookmarkEnd w:id="69"/>
      <w:bookmarkEnd w:id="70"/>
    </w:p>
    <w:p w14:paraId="6FFA1CDD">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安全评价程序主要包括：准备阶段；危险、有害因素辨识与分析；定性定量评价；提出安全对策措施；形成安全评价结论及建议；编制安全评价报告</w:t>
      </w:r>
    </w:p>
    <w:p w14:paraId="249E8FDD">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1.</w:t>
      </w:r>
      <w:r>
        <w:rPr>
          <w:rFonts w:ascii="宋体" w:hAnsi="宋体"/>
          <w:kern w:val="3"/>
          <w:sz w:val="28"/>
          <w:szCs w:val="28"/>
        </w:rPr>
        <w:t>前期准备工作</w:t>
      </w:r>
    </w:p>
    <w:p w14:paraId="1918C943">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明确被评价对象和范围，收集国内外相关法律法规、技术标准及工程、系统的技术资料</w:t>
      </w:r>
      <w:r>
        <w:rPr>
          <w:rFonts w:ascii="宋体" w:hAnsi="宋体"/>
          <w:kern w:val="3"/>
          <w:sz w:val="28"/>
          <w:szCs w:val="28"/>
        </w:rPr>
        <w:t>。</w:t>
      </w:r>
    </w:p>
    <w:p w14:paraId="78523DEE">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w:t>
      </w:r>
      <w:r>
        <w:rPr>
          <w:rFonts w:ascii="宋体" w:hAnsi="宋体" w:cs="宋体"/>
          <w:kern w:val="0"/>
          <w:sz w:val="28"/>
          <w:szCs w:val="28"/>
        </w:rPr>
        <w:t>危险、有害因素辨识与分析</w:t>
      </w:r>
    </w:p>
    <w:p w14:paraId="2358229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根据被评价的工程、系统的情况，辨识和分析危险、有害因素，确定危险、有害因素存在的部位、存在的方式、事故发生的途径及其变化的规律。</w:t>
      </w:r>
    </w:p>
    <w:p w14:paraId="1F646F2D">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w:t>
      </w:r>
      <w:r>
        <w:rPr>
          <w:rFonts w:ascii="宋体" w:hAnsi="宋体" w:cs="宋体"/>
          <w:kern w:val="0"/>
          <w:sz w:val="28"/>
          <w:szCs w:val="28"/>
        </w:rPr>
        <w:t>定性、定量评价</w:t>
      </w:r>
    </w:p>
    <w:p w14:paraId="0DFE31F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在危险、有害因素辨识和分析的基础上，划分评价单元，选择合理的评价方法，对工程、系统发生事故的可能性和严重程度进行定性、定量评价。</w:t>
      </w:r>
    </w:p>
    <w:p w14:paraId="2AFB4F5C">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4.</w:t>
      </w:r>
      <w:r>
        <w:rPr>
          <w:rFonts w:ascii="宋体" w:hAnsi="宋体" w:cs="宋体"/>
          <w:kern w:val="0"/>
          <w:sz w:val="28"/>
          <w:szCs w:val="28"/>
        </w:rPr>
        <w:t>安全对策措施</w:t>
      </w:r>
    </w:p>
    <w:p w14:paraId="01DB6CB7">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根据定性、定量评价结果，提出消除或减弱危险、有害因素的技术和管理措施及建议。</w:t>
      </w:r>
    </w:p>
    <w:p w14:paraId="3F46A45C">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5.</w:t>
      </w:r>
      <w:r>
        <w:rPr>
          <w:rFonts w:ascii="宋体" w:hAnsi="宋体" w:cs="宋体"/>
          <w:kern w:val="0"/>
          <w:sz w:val="28"/>
          <w:szCs w:val="28"/>
        </w:rPr>
        <w:t>安全评价结论及建议</w:t>
      </w:r>
    </w:p>
    <w:p w14:paraId="6A168C0F">
      <w:pPr>
        <w:adjustRightInd w:val="0"/>
        <w:snapToGrid w:val="0"/>
        <w:spacing w:line="500" w:lineRule="exact"/>
        <w:ind w:firstLine="560" w:firstLineChars="200"/>
        <w:rPr>
          <w:rFonts w:ascii="宋体" w:hAnsi="宋体" w:cs="宋体"/>
          <w:kern w:val="0"/>
          <w:sz w:val="28"/>
          <w:szCs w:val="28"/>
        </w:rPr>
      </w:pPr>
      <w:r>
        <w:rPr>
          <w:rFonts w:ascii="宋体" w:hAnsi="宋体" w:cs="宋体"/>
          <w:kern w:val="0"/>
          <w:sz w:val="28"/>
          <w:szCs w:val="28"/>
        </w:rPr>
        <w:t>简要地列出主要危险、有害因素的评价结果，指出工程、系统应重点防范的重大危险因素，明确生产经营者应重视的重要安全措施。</w:t>
      </w:r>
    </w:p>
    <w:p w14:paraId="12998601">
      <w:pPr>
        <w:adjustRightInd w:val="0"/>
        <w:snapToGrid w:val="0"/>
        <w:spacing w:line="500" w:lineRule="exact"/>
        <w:ind w:firstLine="300"/>
        <w:rPr>
          <w:rFonts w:ascii="宋体" w:hAnsi="宋体"/>
          <w:kern w:val="3"/>
          <w:sz w:val="28"/>
          <w:szCs w:val="28"/>
        </w:rPr>
      </w:pPr>
      <w:r>
        <w:rPr>
          <w:rFonts w:ascii="宋体" w:hAnsi="宋体"/>
          <w:kern w:val="3"/>
          <w:sz w:val="28"/>
          <w:szCs w:val="28"/>
        </w:rPr>
        <w:t xml:space="preserve">  危险化学品经营单位安全评价程序见</w:t>
      </w:r>
      <w:r>
        <w:rPr>
          <w:rFonts w:hint="eastAsia" w:ascii="宋体" w:hAnsi="宋体"/>
          <w:kern w:val="3"/>
          <w:sz w:val="28"/>
          <w:szCs w:val="28"/>
        </w:rPr>
        <w:t>图1-1</w:t>
      </w:r>
      <w:r>
        <w:rPr>
          <w:rFonts w:ascii="宋体" w:hAnsi="宋体"/>
          <w:kern w:val="3"/>
          <w:sz w:val="28"/>
          <w:szCs w:val="28"/>
        </w:rPr>
        <w:t>所示。</w:t>
      </w:r>
    </w:p>
    <w:p w14:paraId="756E321A">
      <w:pPr>
        <w:adjustRightInd w:val="0"/>
        <w:snapToGrid w:val="0"/>
        <w:spacing w:line="500" w:lineRule="exact"/>
        <w:ind w:firstLine="560" w:firstLineChars="200"/>
        <w:rPr>
          <w:rFonts w:ascii="宋体" w:hAnsi="宋体"/>
          <w:kern w:val="3"/>
          <w:sz w:val="28"/>
          <w:szCs w:val="28"/>
        </w:rPr>
      </w:pPr>
    </w:p>
    <w:p w14:paraId="28E74F8E">
      <w:pPr>
        <w:ind w:firstLine="560" w:firstLineChars="200"/>
        <w:jc w:val="center"/>
        <w:rPr>
          <w:rFonts w:ascii="宋体" w:hAnsi="宋体"/>
          <w:kern w:val="3"/>
          <w:sz w:val="28"/>
          <w:szCs w:val="28"/>
        </w:rPr>
      </w:pPr>
      <w:bookmarkStart w:id="71" w:name="_Toc350843715"/>
      <w:bookmarkStart w:id="72" w:name="_Toc71894866"/>
    </w:p>
    <w:p w14:paraId="771F4209">
      <w:pPr>
        <w:ind w:firstLine="560" w:firstLineChars="200"/>
        <w:jc w:val="center"/>
        <w:rPr>
          <w:rFonts w:ascii="宋体" w:hAnsi="宋体"/>
          <w:kern w:val="3"/>
          <w:sz w:val="28"/>
          <w:szCs w:val="28"/>
        </w:rPr>
      </w:pPr>
    </w:p>
    <w:p w14:paraId="75A8DA82">
      <w:pPr>
        <w:ind w:firstLine="560" w:firstLineChars="200"/>
        <w:jc w:val="center"/>
        <w:rPr>
          <w:rFonts w:ascii="宋体" w:hAnsi="宋体"/>
          <w:kern w:val="3"/>
          <w:sz w:val="28"/>
          <w:szCs w:val="28"/>
        </w:rPr>
      </w:pPr>
    </w:p>
    <w:p w14:paraId="224B393B">
      <w:pPr>
        <w:ind w:firstLine="560" w:firstLineChars="200"/>
        <w:jc w:val="center"/>
        <w:rPr>
          <w:rFonts w:ascii="宋体" w:hAnsi="宋体"/>
          <w:kern w:val="3"/>
          <w:sz w:val="28"/>
          <w:szCs w:val="28"/>
        </w:rPr>
      </w:pPr>
    </w:p>
    <w:p w14:paraId="1C0E55D9">
      <w:pPr>
        <w:ind w:firstLine="560" w:firstLineChars="200"/>
        <w:jc w:val="center"/>
        <w:rPr>
          <w:rFonts w:ascii="宋体" w:hAnsi="宋体"/>
          <w:kern w:val="3"/>
          <w:sz w:val="28"/>
          <w:szCs w:val="28"/>
        </w:rPr>
      </w:pPr>
      <w:r>
        <w:rPr>
          <w:rFonts w:ascii="宋体" w:hAnsi="宋体" w:cs="宋体"/>
          <w:kern w:val="0"/>
          <w:sz w:val="28"/>
          <w:szCs w:val="28"/>
        </w:rPr>
        <w:drawing>
          <wp:anchor distT="0" distB="0" distL="114300" distR="114300" simplePos="0" relativeHeight="251659264" behindDoc="0" locked="0" layoutInCell="1" allowOverlap="0">
            <wp:simplePos x="0" y="0"/>
            <wp:positionH relativeFrom="margin">
              <wp:posOffset>1381760</wp:posOffset>
            </wp:positionH>
            <wp:positionV relativeFrom="margin">
              <wp:posOffset>283845</wp:posOffset>
            </wp:positionV>
            <wp:extent cx="2587625" cy="3653155"/>
            <wp:effectExtent l="0" t="0" r="0" b="0"/>
            <wp:wrapTopAndBottom/>
            <wp:docPr id="25" name="Picture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05"/>
                    <pic:cNvPicPr>
                      <a:picLocks noChangeAspect="1"/>
                    </pic:cNvPicPr>
                  </pic:nvPicPr>
                  <pic:blipFill>
                    <a:blip r:embed="rId24"/>
                    <a:srcRect l="33690" r="31985" b="3030"/>
                    <a:stretch>
                      <a:fillRect/>
                    </a:stretch>
                  </pic:blipFill>
                  <pic:spPr>
                    <a:xfrm>
                      <a:off x="0" y="0"/>
                      <a:ext cx="2587625" cy="3653155"/>
                    </a:xfrm>
                    <a:prstGeom prst="rect">
                      <a:avLst/>
                    </a:prstGeom>
                    <a:noFill/>
                    <a:ln w="9525">
                      <a:noFill/>
                    </a:ln>
                  </pic:spPr>
                </pic:pic>
              </a:graphicData>
            </a:graphic>
          </wp:anchor>
        </w:drawing>
      </w:r>
    </w:p>
    <w:p w14:paraId="0D512B2B">
      <w:pPr>
        <w:ind w:firstLine="560" w:firstLineChars="200"/>
        <w:jc w:val="center"/>
        <w:rPr>
          <w:rFonts w:ascii="宋体" w:hAnsi="宋体"/>
          <w:kern w:val="3"/>
          <w:sz w:val="28"/>
          <w:szCs w:val="28"/>
        </w:rPr>
      </w:pPr>
      <w:r>
        <w:rPr>
          <w:rFonts w:hint="eastAsia" w:ascii="宋体" w:hAnsi="宋体"/>
          <w:kern w:val="3"/>
          <w:sz w:val="28"/>
          <w:szCs w:val="28"/>
        </w:rPr>
        <w:t>图1-1</w:t>
      </w:r>
      <w:r>
        <w:rPr>
          <w:rFonts w:ascii="宋体" w:hAnsi="宋体"/>
          <w:kern w:val="3"/>
          <w:sz w:val="28"/>
          <w:szCs w:val="28"/>
        </w:rPr>
        <w:t>安全评价程序</w:t>
      </w:r>
      <w:r>
        <w:rPr>
          <w:rFonts w:hint="eastAsia" w:ascii="宋体" w:hAnsi="宋体"/>
          <w:kern w:val="3"/>
          <w:sz w:val="28"/>
          <w:szCs w:val="28"/>
        </w:rPr>
        <w:t>框图</w:t>
      </w:r>
    </w:p>
    <w:p w14:paraId="17358A4D">
      <w:pPr>
        <w:pStyle w:val="4"/>
        <w:spacing w:afterLines="100" w:line="500" w:lineRule="exact"/>
        <w:jc w:val="center"/>
        <w:rPr>
          <w:rFonts w:ascii="宋体" w:hAnsi="宋体" w:eastAsia="宋体"/>
          <w:kern w:val="3"/>
        </w:rPr>
      </w:pPr>
      <w:r>
        <w:rPr>
          <w:rFonts w:ascii="宋体" w:hAnsi="宋体" w:eastAsia="宋体"/>
          <w:kern w:val="3"/>
        </w:rPr>
        <w:t>1.</w:t>
      </w:r>
      <w:r>
        <w:rPr>
          <w:rFonts w:hint="eastAsia" w:ascii="宋体" w:hAnsi="宋体" w:eastAsia="宋体"/>
          <w:kern w:val="3"/>
        </w:rPr>
        <w:t>4</w:t>
      </w:r>
      <w:r>
        <w:rPr>
          <w:rFonts w:ascii="宋体" w:hAnsi="宋体" w:eastAsia="宋体"/>
          <w:kern w:val="3"/>
        </w:rPr>
        <w:t>评价</w:t>
      </w:r>
      <w:r>
        <w:rPr>
          <w:rFonts w:hint="eastAsia" w:ascii="宋体" w:hAnsi="宋体" w:eastAsia="宋体"/>
          <w:kern w:val="3"/>
        </w:rPr>
        <w:t>基准日</w:t>
      </w:r>
      <w:bookmarkEnd w:id="71"/>
      <w:bookmarkEnd w:id="72"/>
    </w:p>
    <w:p w14:paraId="2ED8AFA5">
      <w:pPr>
        <w:ind w:firstLine="560" w:firstLineChars="200"/>
        <w:rPr>
          <w:rFonts w:ascii="宋体" w:hAnsi="宋体"/>
          <w:kern w:val="3"/>
          <w:sz w:val="28"/>
          <w:szCs w:val="28"/>
        </w:rPr>
      </w:pPr>
      <w:r>
        <w:rPr>
          <w:rFonts w:hint="eastAsia" w:ascii="宋体" w:hAnsi="宋体"/>
          <w:kern w:val="3"/>
          <w:sz w:val="28"/>
          <w:szCs w:val="28"/>
        </w:rPr>
        <w:t>评价基准日：</w:t>
      </w:r>
      <w:r>
        <w:rPr>
          <w:rFonts w:hint="eastAsia" w:ascii="宋体" w:hAnsi="宋体"/>
          <w:kern w:val="3"/>
          <w:sz w:val="28"/>
          <w:szCs w:val="28"/>
          <w:lang w:val="en-US" w:eastAsia="zh-CN"/>
        </w:rPr>
        <w:t>2025年6月6日</w:t>
      </w:r>
    </w:p>
    <w:p w14:paraId="4A34AC67">
      <w:pPr>
        <w:pStyle w:val="4"/>
        <w:spacing w:afterLines="100" w:line="500" w:lineRule="exact"/>
        <w:jc w:val="center"/>
        <w:rPr>
          <w:rFonts w:ascii="楷体_GB2312" w:hAnsi="宋体" w:eastAsia="楷体_GB2312"/>
          <w:kern w:val="3"/>
        </w:rPr>
      </w:pPr>
      <w:r>
        <w:rPr>
          <w:rFonts w:ascii="宋体" w:hAnsi="宋体" w:eastAsia="宋体"/>
          <w:kern w:val="3"/>
          <w:sz w:val="28"/>
          <w:szCs w:val="28"/>
        </w:rPr>
        <w:br w:type="page"/>
      </w:r>
      <w:bookmarkStart w:id="73" w:name="_Toc71894867"/>
      <w:r>
        <w:rPr>
          <w:rFonts w:hint="eastAsia" w:ascii="楷体_GB2312" w:hAnsi="宋体" w:eastAsia="楷体_GB2312"/>
          <w:kern w:val="3"/>
        </w:rPr>
        <w:t>第2章  评价项目概况</w:t>
      </w:r>
      <w:bookmarkEnd w:id="73"/>
    </w:p>
    <w:p w14:paraId="56D58DC6">
      <w:pPr>
        <w:pStyle w:val="4"/>
        <w:spacing w:afterLines="100" w:line="500" w:lineRule="exact"/>
        <w:jc w:val="center"/>
        <w:rPr>
          <w:rFonts w:ascii="楷体_GB2312" w:hAnsi="宋体" w:eastAsia="楷体_GB2312"/>
          <w:kern w:val="3"/>
        </w:rPr>
      </w:pPr>
      <w:bookmarkStart w:id="74" w:name="_Toc321068204"/>
      <w:bookmarkStart w:id="75" w:name="_Toc71894868"/>
      <w:bookmarkStart w:id="76" w:name="_Toc196033024"/>
      <w:r>
        <w:rPr>
          <w:rFonts w:hint="eastAsia" w:ascii="楷体_GB2312" w:hAnsi="宋体" w:eastAsia="楷体_GB2312"/>
          <w:kern w:val="3"/>
        </w:rPr>
        <w:t>2.1 被评价单位基本情况</w:t>
      </w:r>
      <w:bookmarkEnd w:id="74"/>
      <w:bookmarkEnd w:id="75"/>
      <w:bookmarkEnd w:id="76"/>
    </w:p>
    <w:p w14:paraId="05537F91">
      <w:pPr>
        <w:tabs>
          <w:tab w:val="center" w:pos="4252"/>
        </w:tabs>
        <w:adjustRightInd w:val="0"/>
        <w:snapToGrid w:val="0"/>
        <w:spacing w:line="500" w:lineRule="exact"/>
        <w:ind w:firstLine="560" w:firstLineChars="200"/>
        <w:rPr>
          <w:rFonts w:ascii="宋体" w:hAnsi="宋体"/>
          <w:snapToGrid w:val="0"/>
          <w:kern w:val="20"/>
          <w:sz w:val="28"/>
        </w:rPr>
      </w:pPr>
      <w:r>
        <w:rPr>
          <w:rFonts w:hint="eastAsia" w:ascii="宋体" w:hAnsi="宋体"/>
          <w:sz w:val="28"/>
          <w:lang w:eastAsia="zh-CN"/>
        </w:rPr>
        <w:t>盐津县豆沙狮子湾加油站</w:t>
      </w:r>
      <w:r>
        <w:rPr>
          <w:rFonts w:hint="eastAsia" w:ascii="宋体" w:hAnsi="宋体"/>
          <w:sz w:val="28"/>
        </w:rPr>
        <w:t>于202</w:t>
      </w:r>
      <w:r>
        <w:rPr>
          <w:rFonts w:hint="eastAsia" w:ascii="宋体" w:hAnsi="宋体"/>
          <w:sz w:val="28"/>
          <w:lang w:val="en-US" w:eastAsia="zh-CN"/>
        </w:rPr>
        <w:t>5</w:t>
      </w:r>
      <w:r>
        <w:rPr>
          <w:rFonts w:hint="eastAsia" w:ascii="宋体" w:hAnsi="宋体"/>
          <w:sz w:val="28"/>
        </w:rPr>
        <w:t>年</w:t>
      </w:r>
      <w:r>
        <w:rPr>
          <w:rFonts w:hint="eastAsia" w:ascii="宋体" w:hAnsi="宋体"/>
          <w:sz w:val="28"/>
          <w:lang w:val="en-US" w:eastAsia="zh-CN"/>
        </w:rPr>
        <w:t>8</w:t>
      </w:r>
      <w:r>
        <w:rPr>
          <w:rFonts w:hint="eastAsia" w:ascii="宋体" w:hAnsi="宋体"/>
          <w:sz w:val="28"/>
        </w:rPr>
        <w:t>月</w:t>
      </w:r>
      <w:r>
        <w:rPr>
          <w:rFonts w:hint="eastAsia" w:ascii="宋体" w:hAnsi="宋体"/>
          <w:sz w:val="28"/>
          <w:lang w:val="en-US" w:eastAsia="zh-CN"/>
        </w:rPr>
        <w:t>10</w:t>
      </w:r>
      <w:r>
        <w:rPr>
          <w:rFonts w:hint="eastAsia" w:ascii="宋体" w:hAnsi="宋体"/>
          <w:sz w:val="28"/>
        </w:rPr>
        <w:t>日换领危险化学品经营许可证，有效期</w:t>
      </w:r>
      <w:r>
        <w:rPr>
          <w:rFonts w:hint="eastAsia" w:ascii="宋体" w:hAnsi="宋体"/>
          <w:snapToGrid w:val="0"/>
          <w:kern w:val="20"/>
          <w:sz w:val="28"/>
        </w:rPr>
        <w:t>至202</w:t>
      </w:r>
      <w:r>
        <w:rPr>
          <w:rFonts w:hint="eastAsia" w:ascii="宋体" w:hAnsi="宋体"/>
          <w:snapToGrid w:val="0"/>
          <w:kern w:val="20"/>
          <w:sz w:val="28"/>
          <w:lang w:val="en-US" w:eastAsia="zh-CN"/>
        </w:rPr>
        <w:t>5</w:t>
      </w:r>
      <w:r>
        <w:rPr>
          <w:rFonts w:hint="eastAsia" w:ascii="宋体" w:hAnsi="宋体"/>
          <w:snapToGrid w:val="0"/>
          <w:kern w:val="20"/>
          <w:sz w:val="28"/>
        </w:rPr>
        <w:t>年</w:t>
      </w:r>
      <w:r>
        <w:rPr>
          <w:rFonts w:hint="eastAsia" w:ascii="宋体" w:hAnsi="宋体"/>
          <w:snapToGrid w:val="0"/>
          <w:kern w:val="20"/>
          <w:sz w:val="28"/>
          <w:lang w:val="en-US" w:eastAsia="zh-CN"/>
        </w:rPr>
        <w:t>8</w:t>
      </w:r>
      <w:r>
        <w:rPr>
          <w:rFonts w:hint="eastAsia" w:ascii="宋体" w:hAnsi="宋体"/>
          <w:snapToGrid w:val="0"/>
          <w:kern w:val="20"/>
          <w:sz w:val="28"/>
        </w:rPr>
        <w:t>月</w:t>
      </w:r>
      <w:r>
        <w:rPr>
          <w:rFonts w:hint="eastAsia" w:ascii="宋体" w:hAnsi="宋体"/>
          <w:snapToGrid w:val="0"/>
          <w:kern w:val="20"/>
          <w:sz w:val="28"/>
          <w:lang w:val="en-US" w:eastAsia="zh-CN"/>
        </w:rPr>
        <w:t>9</w:t>
      </w:r>
      <w:r>
        <w:rPr>
          <w:rFonts w:hint="eastAsia" w:ascii="宋体" w:hAnsi="宋体"/>
          <w:snapToGrid w:val="0"/>
          <w:kern w:val="20"/>
          <w:sz w:val="28"/>
        </w:rPr>
        <w:t>日。</w:t>
      </w:r>
    </w:p>
    <w:p w14:paraId="067827BD">
      <w:pPr>
        <w:spacing w:line="500" w:lineRule="exact"/>
        <w:ind w:firstLine="562" w:firstLineChars="200"/>
        <w:rPr>
          <w:rFonts w:ascii="宋体" w:hAnsi="宋体"/>
          <w:b/>
          <w:sz w:val="28"/>
          <w:szCs w:val="28"/>
        </w:rPr>
      </w:pPr>
      <w:r>
        <w:rPr>
          <w:rFonts w:hint="eastAsia" w:ascii="宋体" w:hAnsi="宋体"/>
          <w:b/>
          <w:sz w:val="28"/>
          <w:szCs w:val="28"/>
        </w:rPr>
        <w:t>营业执照</w:t>
      </w:r>
    </w:p>
    <w:p w14:paraId="147DCA24">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统一社会信用代码：9</w:t>
      </w:r>
      <w:r>
        <w:rPr>
          <w:rFonts w:hint="eastAsia" w:ascii="宋体" w:hAnsi="宋体"/>
          <w:sz w:val="28"/>
          <w:szCs w:val="28"/>
          <w:lang w:val="en-US" w:eastAsia="zh-CN"/>
        </w:rPr>
        <w:t>1</w:t>
      </w:r>
      <w:r>
        <w:rPr>
          <w:rFonts w:ascii="宋体" w:hAnsi="宋体"/>
          <w:sz w:val="28"/>
          <w:szCs w:val="28"/>
        </w:rPr>
        <w:t>53062</w:t>
      </w:r>
      <w:r>
        <w:rPr>
          <w:rFonts w:hint="eastAsia" w:ascii="宋体" w:hAnsi="宋体"/>
          <w:sz w:val="28"/>
          <w:szCs w:val="28"/>
        </w:rPr>
        <w:t>3MA6</w:t>
      </w:r>
      <w:r>
        <w:rPr>
          <w:rFonts w:hint="eastAsia" w:ascii="宋体" w:hAnsi="宋体"/>
          <w:sz w:val="28"/>
          <w:szCs w:val="28"/>
          <w:lang w:val="en-US" w:eastAsia="zh-CN"/>
        </w:rPr>
        <w:t>P236B8R</w:t>
      </w:r>
    </w:p>
    <w:p w14:paraId="7656F471">
      <w:pPr>
        <w:autoSpaceDE w:val="0"/>
        <w:autoSpaceDN w:val="0"/>
        <w:adjustRightInd w:val="0"/>
        <w:snapToGrid w:val="0"/>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名    称：</w:t>
      </w:r>
      <w:r>
        <w:rPr>
          <w:rFonts w:hint="eastAsia" w:ascii="宋体" w:hAnsi="宋体"/>
          <w:sz w:val="28"/>
          <w:szCs w:val="28"/>
          <w:lang w:eastAsia="zh-CN"/>
        </w:rPr>
        <w:t>盐津县豆沙狮子湾加油站</w:t>
      </w:r>
    </w:p>
    <w:p w14:paraId="5B633FF2">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类 型：</w:t>
      </w:r>
      <w:r>
        <w:rPr>
          <w:rFonts w:hint="eastAsia" w:ascii="宋体" w:hAnsi="宋体"/>
          <w:sz w:val="28"/>
          <w:szCs w:val="28"/>
          <w:lang w:val="en-US" w:eastAsia="zh-CN"/>
        </w:rPr>
        <w:t>个人独资企业</w:t>
      </w:r>
    </w:p>
    <w:p w14:paraId="025E3719">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住 所：</w:t>
      </w:r>
      <w:r>
        <w:rPr>
          <w:rFonts w:hint="eastAsia" w:ascii="宋体" w:hAnsi="宋体"/>
          <w:sz w:val="28"/>
          <w:szCs w:val="28"/>
          <w:lang w:eastAsia="zh-CN"/>
        </w:rPr>
        <w:t>云南省昭通市盐津县豆沙镇黑喜村狮子湾</w:t>
      </w:r>
    </w:p>
    <w:p w14:paraId="638800BE">
      <w:pPr>
        <w:autoSpaceDE w:val="0"/>
        <w:autoSpaceDN w:val="0"/>
        <w:adjustRightInd w:val="0"/>
        <w:snapToGrid w:val="0"/>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经 营 者：肖建</w:t>
      </w:r>
      <w:r>
        <w:rPr>
          <w:rFonts w:hint="eastAsia" w:ascii="宋体" w:hAnsi="宋体"/>
          <w:sz w:val="28"/>
          <w:szCs w:val="28"/>
          <w:lang w:val="en-US" w:eastAsia="zh-CN"/>
        </w:rPr>
        <w:t>辉</w:t>
      </w:r>
    </w:p>
    <w:p w14:paraId="450ABAC8">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注册日期：2</w:t>
      </w:r>
      <w:r>
        <w:rPr>
          <w:rFonts w:ascii="宋体" w:hAnsi="宋体"/>
          <w:sz w:val="28"/>
          <w:szCs w:val="28"/>
        </w:rPr>
        <w:t>0</w:t>
      </w:r>
      <w:r>
        <w:rPr>
          <w:rFonts w:hint="eastAsia" w:ascii="宋体" w:hAnsi="宋体"/>
          <w:sz w:val="28"/>
          <w:szCs w:val="28"/>
        </w:rPr>
        <w:t>1</w:t>
      </w:r>
      <w:r>
        <w:rPr>
          <w:rFonts w:hint="eastAsia" w:ascii="宋体" w:hAnsi="宋体"/>
          <w:sz w:val="28"/>
          <w:szCs w:val="28"/>
          <w:lang w:val="en-US" w:eastAsia="zh-CN"/>
        </w:rPr>
        <w:t>9</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4</w:t>
      </w:r>
      <w:r>
        <w:rPr>
          <w:rFonts w:hint="eastAsia" w:ascii="宋体" w:hAnsi="宋体"/>
          <w:sz w:val="28"/>
          <w:szCs w:val="28"/>
        </w:rPr>
        <w:t>日</w:t>
      </w:r>
    </w:p>
    <w:p w14:paraId="0D0125A5">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经营范围：汽油、柴油零售</w:t>
      </w:r>
    </w:p>
    <w:p w14:paraId="4B1F271F">
      <w:pPr>
        <w:spacing w:line="500" w:lineRule="exact"/>
        <w:ind w:firstLine="562" w:firstLineChars="200"/>
        <w:rPr>
          <w:rFonts w:ascii="宋体" w:hAnsi="宋体"/>
          <w:b/>
          <w:sz w:val="28"/>
          <w:szCs w:val="28"/>
        </w:rPr>
      </w:pPr>
      <w:r>
        <w:rPr>
          <w:rFonts w:hint="eastAsia" w:ascii="宋体" w:hAnsi="宋体"/>
          <w:b/>
          <w:sz w:val="28"/>
          <w:szCs w:val="28"/>
        </w:rPr>
        <w:t>危险化学品经营许可证</w:t>
      </w:r>
    </w:p>
    <w:p w14:paraId="18D2CE33">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证号：昭安经字【202</w:t>
      </w:r>
      <w:r>
        <w:rPr>
          <w:rFonts w:hint="eastAsia" w:ascii="宋体" w:hAnsi="宋体"/>
          <w:sz w:val="28"/>
          <w:szCs w:val="28"/>
          <w:lang w:val="en-US" w:eastAsia="zh-CN"/>
        </w:rPr>
        <w:t>2</w:t>
      </w:r>
      <w:r>
        <w:rPr>
          <w:rFonts w:hint="eastAsia" w:ascii="宋体" w:hAnsi="宋体"/>
          <w:sz w:val="28"/>
          <w:szCs w:val="28"/>
        </w:rPr>
        <w:t>】0</w:t>
      </w:r>
      <w:r>
        <w:rPr>
          <w:rFonts w:hint="eastAsia" w:ascii="宋体" w:hAnsi="宋体"/>
          <w:sz w:val="28"/>
          <w:szCs w:val="28"/>
          <w:lang w:val="en-US" w:eastAsia="zh-CN"/>
        </w:rPr>
        <w:t>79</w:t>
      </w:r>
      <w:r>
        <w:rPr>
          <w:rFonts w:hint="eastAsia" w:ascii="宋体" w:hAnsi="宋体"/>
          <w:sz w:val="28"/>
          <w:szCs w:val="28"/>
        </w:rPr>
        <w:t>号</w:t>
      </w:r>
    </w:p>
    <w:p w14:paraId="76D953E2">
      <w:pPr>
        <w:autoSpaceDE w:val="0"/>
        <w:autoSpaceDN w:val="0"/>
        <w:adjustRightInd w:val="0"/>
        <w:snapToGrid w:val="0"/>
        <w:spacing w:line="360" w:lineRule="auto"/>
        <w:ind w:firstLine="560" w:firstLineChars="200"/>
        <w:rPr>
          <w:rFonts w:hint="eastAsia" w:ascii="宋体" w:hAnsi="宋体"/>
          <w:sz w:val="28"/>
          <w:szCs w:val="28"/>
          <w:lang w:eastAsia="zh-CN"/>
        </w:rPr>
      </w:pPr>
      <w:r>
        <w:rPr>
          <w:rFonts w:hint="eastAsia" w:ascii="宋体" w:hAnsi="宋体"/>
          <w:sz w:val="28"/>
          <w:szCs w:val="28"/>
        </w:rPr>
        <w:t>企业名称：</w:t>
      </w:r>
      <w:r>
        <w:rPr>
          <w:rFonts w:hint="eastAsia" w:ascii="宋体" w:hAnsi="宋体"/>
          <w:sz w:val="28"/>
          <w:szCs w:val="28"/>
          <w:lang w:eastAsia="zh-CN"/>
        </w:rPr>
        <w:t>盐津县豆沙狮子湾加油站</w:t>
      </w:r>
    </w:p>
    <w:p w14:paraId="36F833BD">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lang w:val="en-US" w:eastAsia="zh-CN"/>
        </w:rPr>
        <w:t>企业住所</w:t>
      </w:r>
      <w:r>
        <w:rPr>
          <w:rFonts w:hint="eastAsia" w:ascii="宋体" w:hAnsi="宋体"/>
          <w:sz w:val="28"/>
          <w:szCs w:val="28"/>
        </w:rPr>
        <w:t>：</w:t>
      </w:r>
      <w:r>
        <w:rPr>
          <w:rFonts w:hint="eastAsia" w:ascii="宋体" w:hAnsi="宋体"/>
          <w:sz w:val="28"/>
          <w:szCs w:val="28"/>
          <w:lang w:eastAsia="zh-CN"/>
        </w:rPr>
        <w:t>云南省昭通市盐津县豆沙镇黑喜村狮子湾</w:t>
      </w:r>
    </w:p>
    <w:p w14:paraId="0FEC1BA2">
      <w:pPr>
        <w:autoSpaceDE w:val="0"/>
        <w:autoSpaceDN w:val="0"/>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sz w:val="28"/>
          <w:szCs w:val="28"/>
        </w:rPr>
        <w:t>法定代表人：肖建</w:t>
      </w:r>
      <w:r>
        <w:rPr>
          <w:rFonts w:hint="eastAsia" w:ascii="宋体" w:hAnsi="宋体"/>
          <w:sz w:val="28"/>
          <w:szCs w:val="28"/>
          <w:lang w:val="en-US" w:eastAsia="zh-CN"/>
        </w:rPr>
        <w:t>辉</w:t>
      </w:r>
    </w:p>
    <w:p w14:paraId="124FEF8F">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经营方式：零售</w:t>
      </w:r>
    </w:p>
    <w:p w14:paraId="6B502D55">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许可经营范围：汽油  柴油</w:t>
      </w:r>
    </w:p>
    <w:p w14:paraId="0474E951">
      <w:pPr>
        <w:spacing w:line="500" w:lineRule="exact"/>
        <w:ind w:firstLine="560" w:firstLineChars="200"/>
        <w:rPr>
          <w:snapToGrid w:val="0"/>
          <w:kern w:val="20"/>
          <w:sz w:val="28"/>
        </w:rPr>
      </w:pPr>
      <w:r>
        <w:rPr>
          <w:rFonts w:hint="eastAsia" w:ascii="宋体" w:hAnsi="宋体"/>
          <w:sz w:val="28"/>
          <w:szCs w:val="28"/>
        </w:rPr>
        <w:t>有效期：</w:t>
      </w:r>
      <w:r>
        <w:rPr>
          <w:rFonts w:hint="eastAsia"/>
          <w:snapToGrid w:val="0"/>
          <w:kern w:val="20"/>
          <w:sz w:val="28"/>
        </w:rPr>
        <w:t>202</w:t>
      </w:r>
      <w:r>
        <w:rPr>
          <w:rFonts w:hint="eastAsia"/>
          <w:snapToGrid w:val="0"/>
          <w:kern w:val="20"/>
          <w:sz w:val="28"/>
          <w:lang w:val="en-US" w:eastAsia="zh-CN"/>
        </w:rPr>
        <w:t>2</w:t>
      </w:r>
      <w:r>
        <w:rPr>
          <w:rFonts w:hint="eastAsia"/>
          <w:snapToGrid w:val="0"/>
          <w:kern w:val="20"/>
          <w:sz w:val="28"/>
        </w:rPr>
        <w:t>年</w:t>
      </w:r>
      <w:r>
        <w:rPr>
          <w:rFonts w:hint="eastAsia"/>
          <w:snapToGrid w:val="0"/>
          <w:kern w:val="20"/>
          <w:sz w:val="28"/>
          <w:lang w:val="en-US" w:eastAsia="zh-CN"/>
        </w:rPr>
        <w:t>8</w:t>
      </w:r>
      <w:r>
        <w:rPr>
          <w:rFonts w:hint="eastAsia"/>
          <w:snapToGrid w:val="0"/>
          <w:kern w:val="20"/>
          <w:sz w:val="28"/>
        </w:rPr>
        <w:t>月</w:t>
      </w:r>
      <w:r>
        <w:rPr>
          <w:rFonts w:hint="eastAsia"/>
          <w:snapToGrid w:val="0"/>
          <w:kern w:val="20"/>
          <w:sz w:val="28"/>
          <w:lang w:val="en-US" w:eastAsia="zh-CN"/>
        </w:rPr>
        <w:t>10</w:t>
      </w:r>
      <w:r>
        <w:rPr>
          <w:rFonts w:hint="eastAsia"/>
          <w:snapToGrid w:val="0"/>
          <w:kern w:val="20"/>
          <w:sz w:val="28"/>
        </w:rPr>
        <w:t>日至202</w:t>
      </w:r>
      <w:r>
        <w:rPr>
          <w:rFonts w:hint="eastAsia"/>
          <w:snapToGrid w:val="0"/>
          <w:kern w:val="20"/>
          <w:sz w:val="28"/>
          <w:lang w:val="en-US" w:eastAsia="zh-CN"/>
        </w:rPr>
        <w:t>5</w:t>
      </w:r>
      <w:r>
        <w:rPr>
          <w:rFonts w:hint="eastAsia"/>
          <w:snapToGrid w:val="0"/>
          <w:kern w:val="20"/>
          <w:sz w:val="28"/>
        </w:rPr>
        <w:t>年</w:t>
      </w:r>
      <w:r>
        <w:rPr>
          <w:rFonts w:hint="eastAsia"/>
          <w:snapToGrid w:val="0"/>
          <w:kern w:val="20"/>
          <w:sz w:val="28"/>
          <w:lang w:val="en-US" w:eastAsia="zh-CN"/>
        </w:rPr>
        <w:t>8</w:t>
      </w:r>
      <w:r>
        <w:rPr>
          <w:rFonts w:hint="eastAsia"/>
          <w:snapToGrid w:val="0"/>
          <w:kern w:val="20"/>
          <w:sz w:val="28"/>
        </w:rPr>
        <w:t>月</w:t>
      </w:r>
      <w:r>
        <w:rPr>
          <w:rFonts w:hint="eastAsia"/>
          <w:snapToGrid w:val="0"/>
          <w:kern w:val="20"/>
          <w:sz w:val="28"/>
          <w:lang w:val="en-US" w:eastAsia="zh-CN"/>
        </w:rPr>
        <w:t>9</w:t>
      </w:r>
      <w:r>
        <w:rPr>
          <w:rFonts w:hint="eastAsia"/>
          <w:snapToGrid w:val="0"/>
          <w:kern w:val="20"/>
          <w:sz w:val="28"/>
        </w:rPr>
        <w:t>日</w:t>
      </w:r>
    </w:p>
    <w:p w14:paraId="206824CB">
      <w:pPr>
        <w:spacing w:line="500" w:lineRule="exact"/>
        <w:ind w:firstLine="562" w:firstLineChars="200"/>
        <w:rPr>
          <w:rFonts w:hint="eastAsia" w:ascii="宋体" w:hAnsi="宋体"/>
          <w:b/>
          <w:sz w:val="28"/>
          <w:szCs w:val="28"/>
        </w:rPr>
      </w:pPr>
      <w:r>
        <w:rPr>
          <w:rFonts w:hint="eastAsia" w:ascii="宋体" w:hAnsi="宋体"/>
          <w:b/>
          <w:sz w:val="28"/>
          <w:szCs w:val="28"/>
        </w:rPr>
        <w:t>成品油零售经营批准证书</w:t>
      </w:r>
    </w:p>
    <w:p w14:paraId="415AE2C6">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 xml:space="preserve">证 </w:t>
      </w:r>
      <w:r>
        <w:rPr>
          <w:rFonts w:ascii="宋体" w:hAnsi="宋体"/>
          <w:sz w:val="28"/>
          <w:szCs w:val="28"/>
        </w:rPr>
        <w:t xml:space="preserve">   </w:t>
      </w:r>
      <w:r>
        <w:rPr>
          <w:rFonts w:hint="eastAsia" w:ascii="宋体" w:hAnsi="宋体"/>
          <w:sz w:val="28"/>
          <w:szCs w:val="28"/>
        </w:rPr>
        <w:t>号：昭通油零售证书第</w:t>
      </w:r>
      <w:r>
        <w:rPr>
          <w:rFonts w:hint="eastAsia" w:ascii="宋体" w:hAnsi="宋体"/>
          <w:sz w:val="28"/>
          <w:szCs w:val="28"/>
          <w:lang w:val="en-US" w:eastAsia="zh-CN"/>
        </w:rPr>
        <w:t>245</w:t>
      </w:r>
      <w:r>
        <w:rPr>
          <w:rFonts w:hint="eastAsia" w:ascii="宋体" w:hAnsi="宋体"/>
          <w:sz w:val="28"/>
          <w:szCs w:val="28"/>
        </w:rPr>
        <w:t>号</w:t>
      </w:r>
    </w:p>
    <w:p w14:paraId="4114FBB3">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经营范围：汽油、柴油零售</w:t>
      </w:r>
    </w:p>
    <w:p w14:paraId="4F548210">
      <w:pPr>
        <w:autoSpaceDE w:val="0"/>
        <w:autoSpaceDN w:val="0"/>
        <w:adjustRightInd w:val="0"/>
        <w:snapToGrid w:val="0"/>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企业名称：</w:t>
      </w:r>
      <w:r>
        <w:rPr>
          <w:rFonts w:hint="eastAsia" w:ascii="宋体" w:hAnsi="宋体"/>
          <w:sz w:val="28"/>
          <w:lang w:eastAsia="zh-CN"/>
        </w:rPr>
        <w:t>盐津县豆沙狮子湾加油站</w:t>
      </w:r>
    </w:p>
    <w:p w14:paraId="0BFE706F">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地    址：</w:t>
      </w:r>
      <w:r>
        <w:rPr>
          <w:rFonts w:hint="eastAsia" w:ascii="宋体" w:hAnsi="宋体"/>
          <w:sz w:val="28"/>
          <w:szCs w:val="28"/>
          <w:lang w:eastAsia="zh-CN"/>
        </w:rPr>
        <w:t>盐津县豆沙镇黑喜村狮子湾</w:t>
      </w:r>
    </w:p>
    <w:p w14:paraId="7F747420">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负责人：</w:t>
      </w:r>
      <w:r>
        <w:rPr>
          <w:rFonts w:hint="eastAsia" w:ascii="宋体" w:hAnsi="宋体"/>
          <w:sz w:val="28"/>
          <w:szCs w:val="28"/>
          <w:lang w:val="en-US" w:eastAsia="zh-CN"/>
        </w:rPr>
        <w:t>李勇</w:t>
      </w:r>
    </w:p>
    <w:p w14:paraId="16257E5A">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有效期：20</w:t>
      </w:r>
      <w:r>
        <w:rPr>
          <w:rFonts w:hint="eastAsia" w:ascii="宋体" w:hAnsi="宋体"/>
          <w:sz w:val="28"/>
          <w:szCs w:val="28"/>
          <w:lang w:val="en-US" w:eastAsia="zh-CN"/>
        </w:rPr>
        <w:t>24</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w:t>
      </w:r>
      <w:r>
        <w:rPr>
          <w:rFonts w:hint="eastAsia" w:ascii="宋体" w:hAnsi="宋体"/>
          <w:sz w:val="28"/>
          <w:szCs w:val="28"/>
          <w:lang w:val="en-US" w:eastAsia="zh-CN"/>
        </w:rPr>
        <w:t>18</w:t>
      </w:r>
      <w:r>
        <w:rPr>
          <w:rFonts w:hint="eastAsia" w:ascii="宋体" w:hAnsi="宋体"/>
          <w:sz w:val="28"/>
          <w:szCs w:val="28"/>
        </w:rPr>
        <w:t>日至202</w:t>
      </w:r>
      <w:r>
        <w:rPr>
          <w:rFonts w:hint="eastAsia" w:ascii="宋体" w:hAnsi="宋体"/>
          <w:sz w:val="28"/>
          <w:szCs w:val="28"/>
          <w:lang w:val="en-US" w:eastAsia="zh-CN"/>
        </w:rPr>
        <w:t>9</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w:t>
      </w:r>
      <w:r>
        <w:rPr>
          <w:rFonts w:hint="eastAsia" w:ascii="宋体" w:hAnsi="宋体"/>
          <w:sz w:val="28"/>
          <w:szCs w:val="28"/>
          <w:lang w:val="en-US" w:eastAsia="zh-CN"/>
        </w:rPr>
        <w:t>17</w:t>
      </w:r>
      <w:r>
        <w:rPr>
          <w:rFonts w:hint="eastAsia" w:ascii="宋体" w:hAnsi="宋体"/>
          <w:sz w:val="28"/>
          <w:szCs w:val="28"/>
        </w:rPr>
        <w:t>日</w:t>
      </w:r>
    </w:p>
    <w:p w14:paraId="32804973">
      <w:pPr>
        <w:autoSpaceDE w:val="0"/>
        <w:autoSpaceDN w:val="0"/>
        <w:adjustRightInd w:val="0"/>
        <w:snapToGrid w:val="0"/>
        <w:spacing w:line="360" w:lineRule="auto"/>
        <w:ind w:firstLine="562" w:firstLineChars="200"/>
        <w:rPr>
          <w:rFonts w:ascii="宋体" w:hAnsi="宋体"/>
          <w:b/>
          <w:sz w:val="28"/>
          <w:szCs w:val="28"/>
        </w:rPr>
      </w:pPr>
      <w:r>
        <w:rPr>
          <w:rFonts w:hint="eastAsia" w:ascii="宋体" w:hAnsi="宋体"/>
          <w:b/>
          <w:sz w:val="28"/>
          <w:szCs w:val="28"/>
        </w:rPr>
        <w:t>安全生产标准化证书</w:t>
      </w:r>
    </w:p>
    <w:p w14:paraId="1CCD8216">
      <w:pPr>
        <w:autoSpaceDE w:val="0"/>
        <w:autoSpaceDN w:val="0"/>
        <w:adjustRightInd w:val="0"/>
        <w:snapToGrid w:val="0"/>
        <w:spacing w:line="360" w:lineRule="auto"/>
        <w:ind w:firstLine="560" w:firstLineChars="200"/>
        <w:rPr>
          <w:rFonts w:hint="default" w:ascii="宋体" w:hAnsi="宋体"/>
          <w:sz w:val="28"/>
          <w:szCs w:val="28"/>
          <w:lang w:val="en-US" w:eastAsia="zh-CN"/>
        </w:rPr>
      </w:pPr>
      <w:r>
        <w:rPr>
          <w:rFonts w:hint="eastAsia" w:ascii="宋体" w:hAnsi="宋体"/>
          <w:sz w:val="28"/>
          <w:szCs w:val="28"/>
        </w:rPr>
        <w:t>证书编号：（</w:t>
      </w:r>
      <w:r>
        <w:rPr>
          <w:rFonts w:hint="eastAsia" w:ascii="宋体" w:hAnsi="宋体"/>
          <w:sz w:val="28"/>
          <w:szCs w:val="28"/>
          <w:lang w:val="en-US" w:eastAsia="zh-CN"/>
        </w:rPr>
        <w:t>昭</w:t>
      </w:r>
      <w:r>
        <w:rPr>
          <w:rFonts w:hint="eastAsia" w:ascii="宋体" w:hAnsi="宋体"/>
          <w:sz w:val="28"/>
          <w:szCs w:val="28"/>
        </w:rPr>
        <w:t>）AQB</w:t>
      </w:r>
      <w:r>
        <w:rPr>
          <w:rFonts w:hint="eastAsia" w:ascii="宋体" w:hAnsi="宋体"/>
          <w:sz w:val="28"/>
          <w:szCs w:val="28"/>
          <w:lang w:val="en-US" w:eastAsia="zh-CN"/>
        </w:rPr>
        <w:t>K</w:t>
      </w:r>
      <w:r>
        <w:rPr>
          <w:rFonts w:ascii="宋体" w:hAnsi="宋体"/>
          <w:sz w:val="28"/>
          <w:szCs w:val="28"/>
        </w:rPr>
        <w:t>Ⅲ</w:t>
      </w:r>
      <w:r>
        <w:rPr>
          <w:rFonts w:hint="eastAsia" w:ascii="宋体" w:hAnsi="宋体"/>
          <w:sz w:val="28"/>
          <w:szCs w:val="28"/>
        </w:rPr>
        <w:t>202</w:t>
      </w:r>
      <w:r>
        <w:rPr>
          <w:rFonts w:hint="eastAsia" w:ascii="宋体" w:hAnsi="宋体"/>
          <w:sz w:val="28"/>
          <w:szCs w:val="28"/>
          <w:lang w:val="en-US" w:eastAsia="zh-CN"/>
        </w:rPr>
        <w:t>500046</w:t>
      </w:r>
    </w:p>
    <w:p w14:paraId="35B4E9A7">
      <w:pPr>
        <w:autoSpaceDE w:val="0"/>
        <w:autoSpaceDN w:val="0"/>
        <w:adjustRightInd w:val="0"/>
        <w:snapToGrid w:val="0"/>
        <w:spacing w:line="360" w:lineRule="auto"/>
        <w:ind w:firstLine="560" w:firstLineChars="200"/>
        <w:rPr>
          <w:rFonts w:hint="eastAsia" w:ascii="宋体" w:hAnsi="宋体"/>
          <w:sz w:val="28"/>
          <w:szCs w:val="28"/>
          <w:lang w:eastAsia="zh-CN"/>
        </w:rPr>
      </w:pPr>
      <w:r>
        <w:rPr>
          <w:rFonts w:hint="eastAsia" w:ascii="宋体" w:hAnsi="宋体"/>
          <w:sz w:val="28"/>
          <w:szCs w:val="28"/>
        </w:rPr>
        <w:t>企业名称：</w:t>
      </w:r>
      <w:r>
        <w:rPr>
          <w:rFonts w:hint="eastAsia" w:ascii="宋体" w:hAnsi="宋体"/>
          <w:sz w:val="28"/>
          <w:lang w:eastAsia="zh-CN"/>
        </w:rPr>
        <w:t>盐津县豆沙狮子湾加油站</w:t>
      </w:r>
    </w:p>
    <w:p w14:paraId="4624EC28">
      <w:pPr>
        <w:autoSpaceDE w:val="0"/>
        <w:autoSpaceDN w:val="0"/>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sz w:val="28"/>
          <w:szCs w:val="28"/>
        </w:rPr>
        <w:t>有效期：202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w:t>
      </w:r>
      <w:r>
        <w:rPr>
          <w:rFonts w:hint="eastAsia" w:ascii="宋体" w:hAnsi="宋体"/>
          <w:sz w:val="28"/>
          <w:szCs w:val="28"/>
          <w:lang w:val="en-US" w:eastAsia="zh-CN"/>
        </w:rPr>
        <w:t>19</w:t>
      </w:r>
      <w:r>
        <w:rPr>
          <w:rFonts w:hint="eastAsia" w:ascii="宋体" w:hAnsi="宋体"/>
          <w:sz w:val="28"/>
          <w:szCs w:val="28"/>
        </w:rPr>
        <w:t>日至20</w:t>
      </w:r>
      <w:r>
        <w:rPr>
          <w:rFonts w:ascii="宋体" w:hAnsi="宋体"/>
          <w:sz w:val="28"/>
          <w:szCs w:val="28"/>
        </w:rPr>
        <w:t>2</w:t>
      </w:r>
      <w:r>
        <w:rPr>
          <w:rFonts w:hint="eastAsia" w:ascii="宋体" w:hAnsi="宋体"/>
          <w:sz w:val="28"/>
          <w:szCs w:val="28"/>
          <w:lang w:val="en-US" w:eastAsia="zh-CN"/>
        </w:rPr>
        <w:t>8</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w:t>
      </w:r>
      <w:r>
        <w:rPr>
          <w:rFonts w:hint="eastAsia" w:ascii="宋体" w:hAnsi="宋体"/>
          <w:sz w:val="28"/>
          <w:szCs w:val="28"/>
          <w:lang w:val="en-US" w:eastAsia="zh-CN"/>
        </w:rPr>
        <w:t>18</w:t>
      </w:r>
      <w:r>
        <w:rPr>
          <w:rFonts w:hint="eastAsia" w:ascii="宋体" w:hAnsi="宋体"/>
          <w:sz w:val="28"/>
          <w:szCs w:val="28"/>
        </w:rPr>
        <w:t>日</w:t>
      </w:r>
    </w:p>
    <w:p w14:paraId="4B1312B4">
      <w:pPr>
        <w:spacing w:line="500" w:lineRule="exact"/>
        <w:ind w:firstLine="560" w:firstLineChars="200"/>
        <w:rPr>
          <w:rFonts w:ascii="宋体" w:hAnsi="宋体"/>
          <w:sz w:val="28"/>
          <w:szCs w:val="28"/>
        </w:rPr>
      </w:pPr>
      <w:r>
        <w:rPr>
          <w:rFonts w:hint="eastAsia" w:ascii="宋体" w:hAnsi="宋体"/>
          <w:sz w:val="28"/>
          <w:szCs w:val="28"/>
          <w:lang w:eastAsia="zh-CN"/>
        </w:rPr>
        <w:t>盐津县豆沙狮子湾加油站</w:t>
      </w:r>
      <w:r>
        <w:rPr>
          <w:rFonts w:hint="eastAsia" w:ascii="宋体" w:hAnsi="宋体"/>
          <w:sz w:val="28"/>
          <w:szCs w:val="28"/>
        </w:rPr>
        <w:t>油罐区设置3个</w:t>
      </w:r>
      <w:r>
        <w:rPr>
          <w:rFonts w:hint="eastAsia" w:ascii="宋体" w:hAnsi="宋体"/>
          <w:color w:val="000000"/>
          <w:sz w:val="28"/>
          <w:szCs w:val="28"/>
        </w:rPr>
        <w:t>钢制埋地SF双层卧式罐</w:t>
      </w:r>
      <w:r>
        <w:rPr>
          <w:rFonts w:hint="eastAsia" w:ascii="宋体" w:hAnsi="宋体"/>
          <w:sz w:val="28"/>
          <w:szCs w:val="28"/>
          <w:lang w:eastAsia="zh-CN"/>
        </w:rPr>
        <w:t>，油罐区设置于加油区加油车行道下承重罐池内，通气管口沿罩棚立柱向上敷设，高出罩棚2m。</w:t>
      </w:r>
      <w:r>
        <w:rPr>
          <w:rFonts w:hint="eastAsia" w:ascii="宋体" w:hAnsi="宋体"/>
          <w:color w:val="000000"/>
          <w:sz w:val="28"/>
          <w:szCs w:val="28"/>
        </w:rPr>
        <w:t>加油站设置油罐为30m</w:t>
      </w:r>
      <w:r>
        <w:rPr>
          <w:rFonts w:hint="eastAsia" w:ascii="宋体" w:hAnsi="宋体"/>
          <w:color w:val="000000"/>
          <w:sz w:val="28"/>
          <w:szCs w:val="28"/>
          <w:vertAlign w:val="superscript"/>
        </w:rPr>
        <w:t>3</w:t>
      </w:r>
      <w:r>
        <w:rPr>
          <w:rFonts w:hint="eastAsia" w:ascii="宋体" w:hAnsi="宋体"/>
          <w:color w:val="000000"/>
          <w:sz w:val="28"/>
          <w:szCs w:val="28"/>
        </w:rPr>
        <w:t>92#汽油罐1个、30m</w:t>
      </w:r>
      <w:r>
        <w:rPr>
          <w:rFonts w:hint="eastAsia" w:ascii="宋体" w:hAnsi="宋体"/>
          <w:color w:val="000000"/>
          <w:sz w:val="28"/>
          <w:szCs w:val="28"/>
          <w:vertAlign w:val="superscript"/>
        </w:rPr>
        <w:t>3</w:t>
      </w:r>
      <w:r>
        <w:rPr>
          <w:rFonts w:hint="eastAsia" w:ascii="宋体" w:hAnsi="宋体"/>
          <w:color w:val="000000"/>
          <w:sz w:val="28"/>
          <w:szCs w:val="28"/>
        </w:rPr>
        <w:t>95#汽油罐1个、</w:t>
      </w:r>
      <w:r>
        <w:rPr>
          <w:rFonts w:hint="eastAsia" w:ascii="宋体" w:hAnsi="宋体"/>
          <w:color w:val="000000"/>
          <w:sz w:val="28"/>
          <w:szCs w:val="28"/>
          <w:lang w:val="en-US" w:eastAsia="zh-CN"/>
        </w:rPr>
        <w:t>5</w:t>
      </w:r>
      <w:r>
        <w:rPr>
          <w:rFonts w:hint="eastAsia" w:ascii="宋体" w:hAnsi="宋体"/>
          <w:color w:val="000000"/>
          <w:sz w:val="28"/>
          <w:szCs w:val="28"/>
        </w:rPr>
        <w:t>0m</w:t>
      </w:r>
      <w:r>
        <w:rPr>
          <w:rFonts w:hint="eastAsia" w:ascii="宋体" w:hAnsi="宋体"/>
          <w:color w:val="000000"/>
          <w:sz w:val="28"/>
          <w:szCs w:val="28"/>
          <w:vertAlign w:val="superscript"/>
        </w:rPr>
        <w:t>3</w:t>
      </w:r>
      <w:r>
        <w:rPr>
          <w:rFonts w:hint="eastAsia" w:ascii="宋体" w:hAnsi="宋体"/>
          <w:color w:val="000000"/>
          <w:sz w:val="28"/>
          <w:szCs w:val="28"/>
        </w:rPr>
        <w:t>0#汽油罐1个，总容积为</w:t>
      </w:r>
      <w:r>
        <w:rPr>
          <w:rFonts w:hint="eastAsia" w:ascii="宋体" w:hAnsi="宋体"/>
          <w:color w:val="000000"/>
          <w:sz w:val="28"/>
          <w:szCs w:val="28"/>
          <w:lang w:val="en-US" w:eastAsia="zh-CN"/>
        </w:rPr>
        <w:t>11</w:t>
      </w:r>
      <w:r>
        <w:rPr>
          <w:rFonts w:hint="eastAsia" w:ascii="宋体" w:hAnsi="宋体"/>
          <w:color w:val="000000"/>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color w:val="000000"/>
          <w:sz w:val="28"/>
          <w:szCs w:val="28"/>
        </w:rPr>
        <w:t>分级标准，</w:t>
      </w:r>
      <w:r>
        <w:rPr>
          <w:rFonts w:hint="eastAsia" w:ascii="宋体" w:hAnsi="宋体"/>
          <w:color w:val="000000"/>
          <w:sz w:val="28"/>
          <w:szCs w:val="28"/>
          <w:lang w:eastAsia="zh-CN"/>
        </w:rPr>
        <w:t>盐津县豆沙狮子湾加油站</w:t>
      </w:r>
      <w:r>
        <w:rPr>
          <w:rFonts w:hint="eastAsia" w:ascii="宋体" w:hAnsi="宋体"/>
          <w:color w:val="000000"/>
          <w:sz w:val="28"/>
          <w:szCs w:val="28"/>
        </w:rPr>
        <w:t>存储能力为</w:t>
      </w:r>
      <w:r>
        <w:rPr>
          <w:rFonts w:hint="eastAsia" w:ascii="宋体" w:hAnsi="宋体"/>
          <w:color w:val="000000"/>
          <w:sz w:val="28"/>
          <w:szCs w:val="28"/>
          <w:lang w:val="en-US" w:eastAsia="zh-CN"/>
        </w:rPr>
        <w:t>8</w:t>
      </w:r>
      <w:r>
        <w:rPr>
          <w:rFonts w:hint="eastAsia" w:ascii="宋体" w:hAnsi="宋体"/>
          <w:color w:val="000000"/>
          <w:sz w:val="28"/>
          <w:szCs w:val="28"/>
        </w:rPr>
        <w:t>5m³（柴油折半计算），该加油站为三级加油站，设有</w:t>
      </w:r>
      <w:r>
        <w:rPr>
          <w:rFonts w:hint="eastAsia" w:ascii="宋体" w:hAnsi="宋体"/>
          <w:color w:val="000000"/>
          <w:sz w:val="28"/>
          <w:szCs w:val="28"/>
          <w:lang w:val="en-US" w:eastAsia="zh-CN"/>
        </w:rPr>
        <w:t>4</w:t>
      </w:r>
      <w:r>
        <w:rPr>
          <w:rFonts w:hint="eastAsia" w:ascii="宋体" w:hAnsi="宋体"/>
          <w:color w:val="000000"/>
          <w:sz w:val="28"/>
          <w:szCs w:val="28"/>
        </w:rPr>
        <w:t>台潜油泵型卡机联接式双枪加油机。加油站设置了汽油加油及卸油油气回收装置</w:t>
      </w:r>
      <w:r>
        <w:rPr>
          <w:rFonts w:hint="eastAsia" w:ascii="宋体" w:hAnsi="宋体"/>
          <w:sz w:val="28"/>
          <w:szCs w:val="28"/>
        </w:rPr>
        <w:t>。加油站基本情况如下表</w:t>
      </w:r>
      <w:r>
        <w:rPr>
          <w:rFonts w:hint="eastAsia" w:ascii="宋体" w:hAnsi="宋体"/>
          <w:kern w:val="0"/>
          <w:sz w:val="28"/>
          <w:szCs w:val="28"/>
        </w:rPr>
        <w:t>：</w:t>
      </w:r>
    </w:p>
    <w:p w14:paraId="4306A298">
      <w:pPr>
        <w:ind w:firstLine="560" w:firstLineChars="200"/>
        <w:jc w:val="center"/>
        <w:rPr>
          <w:rFonts w:hint="eastAsia" w:ascii="宋体" w:hAnsi="宋体"/>
          <w:kern w:val="0"/>
          <w:sz w:val="28"/>
          <w:szCs w:val="28"/>
        </w:rPr>
      </w:pPr>
      <w:r>
        <w:rPr>
          <w:rFonts w:hint="eastAsia" w:ascii="宋体" w:hAnsi="宋体"/>
          <w:kern w:val="0"/>
          <w:sz w:val="28"/>
          <w:szCs w:val="28"/>
        </w:rPr>
        <w:t>表2-1加油站基本情况表</w:t>
      </w:r>
    </w:p>
    <w:tbl>
      <w:tblPr>
        <w:tblStyle w:val="33"/>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502"/>
        <w:gridCol w:w="369"/>
        <w:gridCol w:w="835"/>
        <w:gridCol w:w="40"/>
        <w:gridCol w:w="1073"/>
        <w:gridCol w:w="446"/>
        <w:gridCol w:w="288"/>
        <w:gridCol w:w="562"/>
        <w:gridCol w:w="993"/>
        <w:gridCol w:w="953"/>
        <w:gridCol w:w="283"/>
        <w:gridCol w:w="1276"/>
      </w:tblGrid>
      <w:tr w14:paraId="03E0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681C383B">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加油站名称</w:t>
            </w:r>
          </w:p>
        </w:tc>
        <w:tc>
          <w:tcPr>
            <w:tcW w:w="3613" w:type="dxa"/>
            <w:gridSpan w:val="7"/>
            <w:vAlign w:val="center"/>
          </w:tcPr>
          <w:p w14:paraId="1A9AF837">
            <w:pPr>
              <w:autoSpaceDE w:val="0"/>
              <w:autoSpaceDN w:val="0"/>
              <w:rPr>
                <w:rFonts w:hint="eastAsia" w:ascii="宋体" w:hAnsi="宋体" w:eastAsia="宋体" w:cs="宋体"/>
                <w:color w:val="000000"/>
                <w:kern w:val="0"/>
                <w:szCs w:val="21"/>
                <w:lang w:eastAsia="zh-CN"/>
              </w:rPr>
            </w:pPr>
            <w:r>
              <w:rPr>
                <w:rFonts w:hint="eastAsia" w:ascii="宋体" w:hAnsi="宋体"/>
                <w:color w:val="000000"/>
                <w:szCs w:val="21"/>
                <w:lang w:eastAsia="zh-CN"/>
              </w:rPr>
              <w:t>盐津县豆沙狮子湾加油站</w:t>
            </w:r>
          </w:p>
        </w:tc>
        <w:tc>
          <w:tcPr>
            <w:tcW w:w="2229" w:type="dxa"/>
            <w:gridSpan w:val="3"/>
            <w:vAlign w:val="center"/>
          </w:tcPr>
          <w:p w14:paraId="686F412A">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加油站联系人</w:t>
            </w:r>
          </w:p>
        </w:tc>
        <w:tc>
          <w:tcPr>
            <w:tcW w:w="1276" w:type="dxa"/>
            <w:vAlign w:val="center"/>
          </w:tcPr>
          <w:p w14:paraId="740332D7">
            <w:pPr>
              <w:autoSpaceDE w:val="0"/>
              <w:autoSpaceDN w:val="0"/>
              <w:adjustRightInd w:val="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陈海洪</w:t>
            </w:r>
          </w:p>
        </w:tc>
      </w:tr>
      <w:tr w14:paraId="1DA3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52D37A69">
            <w:pPr>
              <w:autoSpaceDE w:val="0"/>
              <w:autoSpaceDN w:val="0"/>
              <w:jc w:val="center"/>
              <w:rPr>
                <w:rFonts w:ascii="宋体" w:hAnsi="宋体"/>
                <w:color w:val="000000"/>
                <w:szCs w:val="21"/>
              </w:rPr>
            </w:pPr>
            <w:r>
              <w:rPr>
                <w:rFonts w:hint="eastAsia" w:ascii="宋体" w:hAnsi="宋体" w:cs="宋体"/>
                <w:b/>
                <w:color w:val="000000"/>
                <w:kern w:val="0"/>
                <w:szCs w:val="21"/>
              </w:rPr>
              <w:t>加油站地址</w:t>
            </w:r>
          </w:p>
        </w:tc>
        <w:tc>
          <w:tcPr>
            <w:tcW w:w="3613" w:type="dxa"/>
            <w:gridSpan w:val="7"/>
            <w:vAlign w:val="center"/>
          </w:tcPr>
          <w:p w14:paraId="1CD1FF70">
            <w:pPr>
              <w:autoSpaceDE w:val="0"/>
              <w:autoSpaceDN w:val="0"/>
              <w:rPr>
                <w:rFonts w:hint="eastAsia" w:ascii="宋体" w:hAnsi="宋体" w:eastAsia="宋体"/>
                <w:color w:val="000000"/>
                <w:szCs w:val="21"/>
                <w:lang w:val="en-US" w:eastAsia="zh-CN"/>
              </w:rPr>
            </w:pPr>
            <w:r>
              <w:rPr>
                <w:rFonts w:hint="eastAsia" w:ascii="宋体" w:hAnsi="宋体" w:cs="宋体"/>
                <w:kern w:val="0"/>
                <w:szCs w:val="21"/>
                <w:lang w:val="en-US" w:eastAsia="zh-CN"/>
              </w:rPr>
              <w:t>盐津县豆沙镇黑喜村狮子湾</w:t>
            </w:r>
          </w:p>
        </w:tc>
        <w:tc>
          <w:tcPr>
            <w:tcW w:w="2229" w:type="dxa"/>
            <w:gridSpan w:val="3"/>
            <w:vAlign w:val="center"/>
          </w:tcPr>
          <w:p w14:paraId="2D40B001">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联系电话</w:t>
            </w:r>
          </w:p>
        </w:tc>
        <w:tc>
          <w:tcPr>
            <w:tcW w:w="1276" w:type="dxa"/>
            <w:vAlign w:val="center"/>
          </w:tcPr>
          <w:p w14:paraId="171503A2">
            <w:pPr>
              <w:autoSpaceDE w:val="0"/>
              <w:autoSpaceDN w:val="0"/>
              <w:adjustRightInd w:val="0"/>
              <w:jc w:val="center"/>
              <w:rPr>
                <w:rFonts w:hint="default" w:ascii="宋体" w:hAnsi="宋体" w:eastAsia="宋体"/>
                <w:szCs w:val="21"/>
                <w:lang w:val="en-US" w:eastAsia="zh-CN"/>
              </w:rPr>
            </w:pPr>
            <w:r>
              <w:rPr>
                <w:rFonts w:hint="eastAsia" w:ascii="宋体" w:hAnsi="宋体"/>
                <w:szCs w:val="21"/>
                <w:lang w:val="en-US" w:eastAsia="zh-CN"/>
              </w:rPr>
              <w:t>18550333722</w:t>
            </w:r>
          </w:p>
        </w:tc>
      </w:tr>
      <w:tr w14:paraId="78E3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04315615">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职工人数</w:t>
            </w:r>
          </w:p>
        </w:tc>
        <w:tc>
          <w:tcPr>
            <w:tcW w:w="1204" w:type="dxa"/>
            <w:gridSpan w:val="2"/>
            <w:vAlign w:val="center"/>
          </w:tcPr>
          <w:p w14:paraId="2858DF57">
            <w:pPr>
              <w:autoSpaceDE w:val="0"/>
              <w:autoSpaceDN w:val="0"/>
              <w:jc w:val="center"/>
              <w:rPr>
                <w:rFonts w:ascii="宋体" w:hAnsi="宋体" w:cs="宋体"/>
                <w:color w:val="000000"/>
                <w:kern w:val="0"/>
                <w:szCs w:val="21"/>
              </w:rPr>
            </w:pPr>
            <w:r>
              <w:rPr>
                <w:rFonts w:hint="eastAsia" w:ascii="宋体" w:hAnsi="宋体" w:cs="宋体"/>
                <w:color w:val="000000"/>
                <w:kern w:val="0"/>
                <w:szCs w:val="21"/>
              </w:rPr>
              <w:t>6人</w:t>
            </w:r>
          </w:p>
        </w:tc>
        <w:tc>
          <w:tcPr>
            <w:tcW w:w="1559" w:type="dxa"/>
            <w:gridSpan w:val="3"/>
            <w:vAlign w:val="center"/>
          </w:tcPr>
          <w:p w14:paraId="673D2F95">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安全管理人员</w:t>
            </w:r>
          </w:p>
        </w:tc>
        <w:tc>
          <w:tcPr>
            <w:tcW w:w="850" w:type="dxa"/>
            <w:gridSpan w:val="2"/>
            <w:vAlign w:val="center"/>
          </w:tcPr>
          <w:p w14:paraId="57B98D4E">
            <w:pPr>
              <w:autoSpaceDE w:val="0"/>
              <w:autoSpaceDN w:val="0"/>
              <w:jc w:val="center"/>
              <w:rPr>
                <w:rFonts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人</w:t>
            </w:r>
          </w:p>
        </w:tc>
        <w:tc>
          <w:tcPr>
            <w:tcW w:w="2229" w:type="dxa"/>
            <w:gridSpan w:val="3"/>
            <w:vAlign w:val="center"/>
          </w:tcPr>
          <w:p w14:paraId="53F962DD">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加油站级别</w:t>
            </w:r>
          </w:p>
        </w:tc>
        <w:tc>
          <w:tcPr>
            <w:tcW w:w="1276" w:type="dxa"/>
            <w:vAlign w:val="center"/>
          </w:tcPr>
          <w:p w14:paraId="0262BA81">
            <w:pPr>
              <w:autoSpaceDE w:val="0"/>
              <w:autoSpaceDN w:val="0"/>
              <w:jc w:val="center"/>
              <w:rPr>
                <w:rFonts w:ascii="宋体" w:hAnsi="宋体" w:cs="宋体"/>
                <w:color w:val="000000"/>
                <w:kern w:val="0"/>
                <w:szCs w:val="21"/>
              </w:rPr>
            </w:pPr>
            <w:r>
              <w:rPr>
                <w:rFonts w:hint="eastAsia" w:ascii="宋体" w:hAnsi="宋体" w:cs="宋体"/>
                <w:color w:val="000000"/>
                <w:kern w:val="0"/>
                <w:szCs w:val="21"/>
              </w:rPr>
              <w:t>三级</w:t>
            </w:r>
          </w:p>
        </w:tc>
      </w:tr>
      <w:tr w14:paraId="4971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925CB4F">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占地面积</w:t>
            </w:r>
          </w:p>
        </w:tc>
        <w:tc>
          <w:tcPr>
            <w:tcW w:w="1204" w:type="dxa"/>
            <w:gridSpan w:val="2"/>
            <w:vAlign w:val="center"/>
          </w:tcPr>
          <w:p w14:paraId="456DF2AC">
            <w:pPr>
              <w:autoSpaceDE w:val="0"/>
              <w:autoSpaceDN w:val="0"/>
              <w:jc w:val="center"/>
              <w:rPr>
                <w:rFonts w:ascii="宋体" w:hAnsi="宋体" w:cs="宋体"/>
                <w:color w:val="000000"/>
                <w:kern w:val="0"/>
                <w:szCs w:val="21"/>
              </w:rPr>
            </w:pPr>
            <w:r>
              <w:rPr>
                <w:rFonts w:hint="eastAsia" w:ascii="宋体" w:hAnsi="宋体"/>
                <w:szCs w:val="21"/>
                <w:lang w:val="en-US" w:eastAsia="zh-CN"/>
              </w:rPr>
              <w:t>973.83</w:t>
            </w:r>
            <w:r>
              <w:rPr>
                <w:rFonts w:hint="eastAsia" w:ascii="宋体" w:hAnsi="宋体" w:cs="宋体"/>
                <w:color w:val="000000"/>
                <w:kern w:val="0"/>
                <w:szCs w:val="21"/>
              </w:rPr>
              <w:t>㎡</w:t>
            </w:r>
          </w:p>
        </w:tc>
        <w:tc>
          <w:tcPr>
            <w:tcW w:w="1559" w:type="dxa"/>
            <w:gridSpan w:val="3"/>
            <w:vAlign w:val="center"/>
          </w:tcPr>
          <w:p w14:paraId="045413DE">
            <w:pPr>
              <w:spacing w:line="360" w:lineRule="exact"/>
              <w:jc w:val="center"/>
              <w:rPr>
                <w:rFonts w:ascii="宋体" w:hAnsi="宋体"/>
                <w:color w:val="000000"/>
                <w:szCs w:val="21"/>
              </w:rPr>
            </w:pPr>
            <w:r>
              <w:rPr>
                <w:rFonts w:ascii="宋体" w:hAnsi="宋体"/>
                <w:b/>
                <w:color w:val="000000"/>
                <w:szCs w:val="21"/>
              </w:rPr>
              <w:t>储罐总容积</w:t>
            </w:r>
          </w:p>
        </w:tc>
        <w:tc>
          <w:tcPr>
            <w:tcW w:w="4355" w:type="dxa"/>
            <w:gridSpan w:val="6"/>
            <w:vAlign w:val="center"/>
          </w:tcPr>
          <w:p w14:paraId="7595851C">
            <w:pPr>
              <w:autoSpaceDE w:val="0"/>
              <w:autoSpaceDN w:val="0"/>
              <w:jc w:val="center"/>
              <w:rPr>
                <w:rFonts w:ascii="宋体" w:hAnsi="宋体" w:cs="宋体"/>
                <w:color w:val="000000"/>
                <w:kern w:val="0"/>
                <w:szCs w:val="21"/>
              </w:rPr>
            </w:pPr>
            <w:r>
              <w:rPr>
                <w:rFonts w:hint="eastAsia" w:ascii="宋体" w:hAnsi="宋体" w:cs="宋体"/>
                <w:color w:val="000000"/>
                <w:kern w:val="0"/>
                <w:szCs w:val="21"/>
                <w:lang w:val="en-US" w:eastAsia="zh-CN"/>
              </w:rPr>
              <w:t>11</w:t>
            </w:r>
            <w:r>
              <w:rPr>
                <w:rFonts w:hint="eastAsia" w:ascii="宋体" w:hAnsi="宋体" w:cs="宋体"/>
                <w:color w:val="000000"/>
                <w:kern w:val="0"/>
                <w:szCs w:val="21"/>
              </w:rPr>
              <w:t>0m³</w:t>
            </w:r>
          </w:p>
        </w:tc>
      </w:tr>
      <w:tr w14:paraId="6366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6C22862">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加油机数量</w:t>
            </w:r>
          </w:p>
        </w:tc>
        <w:tc>
          <w:tcPr>
            <w:tcW w:w="1204" w:type="dxa"/>
            <w:gridSpan w:val="2"/>
            <w:vAlign w:val="center"/>
          </w:tcPr>
          <w:p w14:paraId="441913D6">
            <w:pPr>
              <w:autoSpaceDE w:val="0"/>
              <w:autoSpaceDN w:val="0"/>
              <w:jc w:val="center"/>
              <w:rPr>
                <w:rFonts w:ascii="宋体" w:hAnsi="宋体" w:cs="宋体"/>
                <w:color w:val="000000"/>
                <w:kern w:val="0"/>
                <w:szCs w:val="21"/>
              </w:rPr>
            </w:pPr>
            <w:r>
              <w:rPr>
                <w:rFonts w:hint="eastAsia" w:ascii="宋体" w:hAnsi="宋体" w:cs="宋体"/>
                <w:color w:val="000000"/>
                <w:kern w:val="0"/>
                <w:szCs w:val="21"/>
              </w:rPr>
              <w:t>4</w:t>
            </w:r>
          </w:p>
        </w:tc>
        <w:tc>
          <w:tcPr>
            <w:tcW w:w="1559" w:type="dxa"/>
            <w:gridSpan w:val="3"/>
            <w:vAlign w:val="center"/>
          </w:tcPr>
          <w:p w14:paraId="3B38725B">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加油枪数量</w:t>
            </w:r>
          </w:p>
        </w:tc>
        <w:tc>
          <w:tcPr>
            <w:tcW w:w="850" w:type="dxa"/>
            <w:gridSpan w:val="2"/>
            <w:vAlign w:val="center"/>
          </w:tcPr>
          <w:p w14:paraId="47120DC9">
            <w:pPr>
              <w:autoSpaceDE w:val="0"/>
              <w:autoSpaceDN w:val="0"/>
              <w:jc w:val="center"/>
              <w:rPr>
                <w:rFonts w:ascii="宋体" w:hAnsi="宋体" w:cs="宋体"/>
                <w:color w:val="000000"/>
                <w:kern w:val="0"/>
                <w:szCs w:val="21"/>
              </w:rPr>
            </w:pPr>
            <w:r>
              <w:rPr>
                <w:rFonts w:hint="eastAsia" w:ascii="宋体" w:hAnsi="宋体" w:cs="宋体"/>
                <w:color w:val="000000"/>
                <w:kern w:val="0"/>
                <w:szCs w:val="21"/>
              </w:rPr>
              <w:t>8</w:t>
            </w:r>
          </w:p>
        </w:tc>
        <w:tc>
          <w:tcPr>
            <w:tcW w:w="2229" w:type="dxa"/>
            <w:gridSpan w:val="3"/>
            <w:vAlign w:val="center"/>
          </w:tcPr>
          <w:p w14:paraId="3FF2C4BF">
            <w:pPr>
              <w:autoSpaceDE w:val="0"/>
              <w:autoSpaceDN w:val="0"/>
              <w:jc w:val="center"/>
              <w:rPr>
                <w:rFonts w:ascii="宋体" w:hAnsi="宋体"/>
                <w:b/>
                <w:color w:val="000000"/>
                <w:kern w:val="0"/>
                <w:szCs w:val="21"/>
              </w:rPr>
            </w:pPr>
            <w:r>
              <w:rPr>
                <w:rFonts w:hint="eastAsia" w:ascii="宋体" w:hAnsi="宋体" w:cs="宋体"/>
                <w:b/>
                <w:color w:val="000000"/>
                <w:kern w:val="0"/>
                <w:szCs w:val="21"/>
              </w:rPr>
              <w:t>建设时间</w:t>
            </w:r>
          </w:p>
        </w:tc>
        <w:tc>
          <w:tcPr>
            <w:tcW w:w="1276" w:type="dxa"/>
            <w:vAlign w:val="center"/>
          </w:tcPr>
          <w:p w14:paraId="5547933D">
            <w:pPr>
              <w:autoSpaceDE w:val="0"/>
              <w:autoSpaceDN w:val="0"/>
              <w:jc w:val="center"/>
              <w:rPr>
                <w:rFonts w:ascii="宋体" w:hAnsi="宋体"/>
                <w:color w:val="000000"/>
                <w:kern w:val="0"/>
                <w:szCs w:val="21"/>
              </w:rPr>
            </w:pPr>
            <w:r>
              <w:rPr>
                <w:rFonts w:hint="eastAsia" w:ascii="宋体" w:hAnsi="宋体"/>
                <w:color w:val="000000"/>
                <w:kern w:val="0"/>
                <w:szCs w:val="21"/>
              </w:rPr>
              <w:t>20</w:t>
            </w:r>
            <w:r>
              <w:rPr>
                <w:rFonts w:hint="eastAsia" w:ascii="宋体" w:hAnsi="宋体"/>
                <w:color w:val="000000"/>
                <w:kern w:val="0"/>
                <w:szCs w:val="21"/>
                <w:lang w:val="en-US" w:eastAsia="zh-CN"/>
              </w:rPr>
              <w:t>19</w:t>
            </w:r>
            <w:r>
              <w:rPr>
                <w:rFonts w:hint="eastAsia" w:ascii="宋体" w:hAnsi="宋体"/>
                <w:color w:val="000000"/>
                <w:kern w:val="0"/>
                <w:szCs w:val="21"/>
              </w:rPr>
              <w:t>年</w:t>
            </w:r>
          </w:p>
        </w:tc>
      </w:tr>
      <w:tr w14:paraId="5C6A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74" w:type="dxa"/>
            <w:vMerge w:val="restart"/>
            <w:vAlign w:val="center"/>
          </w:tcPr>
          <w:p w14:paraId="7D197CC0">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建</w:t>
            </w:r>
          </w:p>
          <w:p w14:paraId="7EFA073C">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（构）</w:t>
            </w:r>
          </w:p>
          <w:p w14:paraId="0C787758">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筑</w:t>
            </w:r>
          </w:p>
          <w:p w14:paraId="3C0BA9DB">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物</w:t>
            </w:r>
          </w:p>
          <w:p w14:paraId="2FC72CDC">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情</w:t>
            </w:r>
          </w:p>
          <w:p w14:paraId="5C6CF4BB">
            <w:pPr>
              <w:autoSpaceDE w:val="0"/>
              <w:autoSpaceDN w:val="0"/>
              <w:jc w:val="center"/>
              <w:rPr>
                <w:rFonts w:ascii="宋体" w:hAnsi="宋体"/>
                <w:color w:val="000000"/>
                <w:kern w:val="0"/>
                <w:szCs w:val="21"/>
              </w:rPr>
            </w:pPr>
            <w:r>
              <w:rPr>
                <w:rFonts w:hint="eastAsia" w:ascii="宋体" w:hAnsi="宋体" w:cs="宋体"/>
                <w:b/>
                <w:color w:val="000000"/>
                <w:kern w:val="0"/>
                <w:szCs w:val="21"/>
              </w:rPr>
              <w:t>况</w:t>
            </w:r>
          </w:p>
        </w:tc>
        <w:tc>
          <w:tcPr>
            <w:tcW w:w="1706" w:type="dxa"/>
            <w:gridSpan w:val="3"/>
            <w:vAlign w:val="center"/>
          </w:tcPr>
          <w:p w14:paraId="023F572D">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名称</w:t>
            </w:r>
          </w:p>
        </w:tc>
        <w:tc>
          <w:tcPr>
            <w:tcW w:w="1559" w:type="dxa"/>
            <w:gridSpan w:val="3"/>
            <w:vAlign w:val="center"/>
          </w:tcPr>
          <w:p w14:paraId="1A9C97E2">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结构类型</w:t>
            </w:r>
          </w:p>
        </w:tc>
        <w:tc>
          <w:tcPr>
            <w:tcW w:w="850" w:type="dxa"/>
            <w:gridSpan w:val="2"/>
            <w:vAlign w:val="center"/>
          </w:tcPr>
          <w:p w14:paraId="32D0AB05">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耐火等级</w:t>
            </w:r>
          </w:p>
        </w:tc>
        <w:tc>
          <w:tcPr>
            <w:tcW w:w="993" w:type="dxa"/>
            <w:vAlign w:val="center"/>
          </w:tcPr>
          <w:p w14:paraId="5B350209">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层数</w:t>
            </w:r>
          </w:p>
        </w:tc>
        <w:tc>
          <w:tcPr>
            <w:tcW w:w="953" w:type="dxa"/>
            <w:vAlign w:val="center"/>
          </w:tcPr>
          <w:p w14:paraId="04287FEF">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高度</w:t>
            </w:r>
            <w:r>
              <w:rPr>
                <w:rFonts w:ascii="宋体" w:hAnsi="宋体" w:cs="宋体"/>
                <w:b/>
                <w:color w:val="000000"/>
                <w:kern w:val="0"/>
                <w:szCs w:val="21"/>
              </w:rPr>
              <w:t>(</w:t>
            </w:r>
            <w:r>
              <w:rPr>
                <w:rFonts w:hint="eastAsia" w:ascii="宋体" w:hAnsi="宋体" w:cs="宋体"/>
                <w:b/>
                <w:color w:val="000000"/>
                <w:kern w:val="0"/>
                <w:szCs w:val="21"/>
              </w:rPr>
              <w:t>m)</w:t>
            </w:r>
          </w:p>
        </w:tc>
        <w:tc>
          <w:tcPr>
            <w:tcW w:w="1559" w:type="dxa"/>
            <w:gridSpan w:val="2"/>
            <w:vAlign w:val="center"/>
          </w:tcPr>
          <w:p w14:paraId="5D73975C">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面积</w:t>
            </w:r>
            <w:r>
              <w:rPr>
                <w:rFonts w:ascii="宋体" w:hAnsi="宋体" w:cs="宋体"/>
                <w:b/>
                <w:color w:val="000000"/>
                <w:kern w:val="0"/>
                <w:szCs w:val="21"/>
              </w:rPr>
              <w:t>(</w:t>
            </w:r>
            <w:r>
              <w:rPr>
                <w:rFonts w:hint="eastAsia" w:ascii="宋体" w:hAnsi="宋体" w:cs="宋体"/>
                <w:b/>
                <w:color w:val="000000"/>
                <w:kern w:val="0"/>
                <w:szCs w:val="21"/>
              </w:rPr>
              <w:t>m</w:t>
            </w:r>
            <w:r>
              <w:rPr>
                <w:rFonts w:hint="eastAsia" w:ascii="宋体" w:hAnsi="宋体" w:cs="宋体"/>
                <w:b/>
                <w:color w:val="000000"/>
                <w:kern w:val="0"/>
                <w:szCs w:val="21"/>
                <w:vertAlign w:val="superscript"/>
              </w:rPr>
              <w:t>2</w:t>
            </w:r>
            <w:r>
              <w:rPr>
                <w:rFonts w:ascii="宋体" w:hAnsi="宋体" w:cs="宋体"/>
                <w:b/>
                <w:color w:val="000000"/>
                <w:kern w:val="0"/>
                <w:szCs w:val="21"/>
              </w:rPr>
              <w:t>)</w:t>
            </w:r>
          </w:p>
        </w:tc>
      </w:tr>
      <w:tr w14:paraId="338A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34F3714E">
            <w:pPr>
              <w:autoSpaceDE w:val="0"/>
              <w:autoSpaceDN w:val="0"/>
              <w:jc w:val="center"/>
              <w:rPr>
                <w:rFonts w:ascii="宋体" w:hAnsi="宋体"/>
                <w:color w:val="000000"/>
                <w:kern w:val="0"/>
                <w:szCs w:val="21"/>
              </w:rPr>
            </w:pPr>
          </w:p>
        </w:tc>
        <w:tc>
          <w:tcPr>
            <w:tcW w:w="1706" w:type="dxa"/>
            <w:gridSpan w:val="3"/>
            <w:vAlign w:val="center"/>
          </w:tcPr>
          <w:p w14:paraId="1BEA3F57">
            <w:pPr>
              <w:autoSpaceDE w:val="0"/>
              <w:autoSpaceDN w:val="0"/>
              <w:jc w:val="center"/>
              <w:rPr>
                <w:rFonts w:ascii="宋体" w:hAnsi="宋体"/>
                <w:color w:val="000000"/>
                <w:kern w:val="0"/>
                <w:szCs w:val="21"/>
              </w:rPr>
            </w:pPr>
            <w:r>
              <w:rPr>
                <w:rFonts w:hint="eastAsia" w:ascii="宋体" w:hAnsi="宋体" w:cs="宋体"/>
                <w:color w:val="000000"/>
                <w:kern w:val="0"/>
                <w:szCs w:val="21"/>
              </w:rPr>
              <w:t>加油棚</w:t>
            </w:r>
          </w:p>
        </w:tc>
        <w:tc>
          <w:tcPr>
            <w:tcW w:w="1559" w:type="dxa"/>
            <w:gridSpan w:val="3"/>
            <w:vAlign w:val="center"/>
          </w:tcPr>
          <w:p w14:paraId="4F0ECFBD">
            <w:pPr>
              <w:autoSpaceDE w:val="0"/>
              <w:autoSpaceDN w:val="0"/>
              <w:jc w:val="center"/>
              <w:rPr>
                <w:rFonts w:ascii="宋体" w:hAnsi="宋体" w:cs="宋体"/>
                <w:color w:val="000000"/>
                <w:kern w:val="0"/>
                <w:szCs w:val="21"/>
              </w:rPr>
            </w:pPr>
            <w:r>
              <w:rPr>
                <w:rFonts w:ascii="宋体" w:hAnsi="宋体"/>
                <w:color w:val="000000"/>
                <w:szCs w:val="21"/>
              </w:rPr>
              <w:t>钢结构</w:t>
            </w:r>
          </w:p>
        </w:tc>
        <w:tc>
          <w:tcPr>
            <w:tcW w:w="850" w:type="dxa"/>
            <w:gridSpan w:val="2"/>
            <w:vAlign w:val="center"/>
          </w:tcPr>
          <w:p w14:paraId="53EF2552">
            <w:pPr>
              <w:autoSpaceDE w:val="0"/>
              <w:autoSpaceDN w:val="0"/>
              <w:jc w:val="center"/>
              <w:rPr>
                <w:rFonts w:ascii="宋体" w:hAnsi="宋体" w:cs="宋体"/>
                <w:color w:val="000000"/>
                <w:kern w:val="0"/>
                <w:szCs w:val="21"/>
              </w:rPr>
            </w:pPr>
            <w:r>
              <w:rPr>
                <w:rFonts w:hint="eastAsia" w:ascii="宋体" w:hAnsi="宋体" w:cs="宋体"/>
                <w:color w:val="000000"/>
                <w:kern w:val="0"/>
                <w:szCs w:val="21"/>
              </w:rPr>
              <w:t>二级</w:t>
            </w:r>
          </w:p>
        </w:tc>
        <w:tc>
          <w:tcPr>
            <w:tcW w:w="993" w:type="dxa"/>
            <w:vAlign w:val="center"/>
          </w:tcPr>
          <w:p w14:paraId="432CC08B">
            <w:pPr>
              <w:autoSpaceDE w:val="0"/>
              <w:autoSpaceDN w:val="0"/>
              <w:jc w:val="center"/>
              <w:rPr>
                <w:rFonts w:ascii="宋体" w:hAnsi="宋体" w:cs="宋体"/>
                <w:color w:val="000000"/>
                <w:kern w:val="0"/>
                <w:szCs w:val="21"/>
              </w:rPr>
            </w:pPr>
            <w:r>
              <w:rPr>
                <w:rFonts w:ascii="宋体" w:hAnsi="宋体" w:cs="宋体"/>
                <w:color w:val="000000"/>
                <w:kern w:val="0"/>
                <w:szCs w:val="21"/>
              </w:rPr>
              <w:t>1</w:t>
            </w:r>
          </w:p>
        </w:tc>
        <w:tc>
          <w:tcPr>
            <w:tcW w:w="953" w:type="dxa"/>
            <w:vAlign w:val="center"/>
          </w:tcPr>
          <w:p w14:paraId="7F8C4F55">
            <w:pPr>
              <w:autoSpaceDE w:val="0"/>
              <w:autoSpaceDN w:val="0"/>
              <w:jc w:val="center"/>
              <w:rPr>
                <w:rFonts w:ascii="宋体" w:hAnsi="宋体" w:cs="宋体"/>
                <w:color w:val="000000"/>
                <w:kern w:val="0"/>
                <w:szCs w:val="21"/>
              </w:rPr>
            </w:pPr>
            <w:r>
              <w:rPr>
                <w:color w:val="000000"/>
                <w:szCs w:val="21"/>
              </w:rPr>
              <w:t>7</w:t>
            </w:r>
          </w:p>
        </w:tc>
        <w:tc>
          <w:tcPr>
            <w:tcW w:w="1559" w:type="dxa"/>
            <w:gridSpan w:val="2"/>
            <w:vAlign w:val="center"/>
          </w:tcPr>
          <w:p w14:paraId="0489EADF">
            <w:pPr>
              <w:autoSpaceDE w:val="0"/>
              <w:autoSpaceDN w:val="0"/>
              <w:jc w:val="center"/>
              <w:rPr>
                <w:rFonts w:ascii="宋体" w:hAnsi="宋体" w:cs="宋体"/>
                <w:color w:val="000000"/>
                <w:kern w:val="0"/>
                <w:szCs w:val="21"/>
              </w:rPr>
            </w:pPr>
            <w:r>
              <w:rPr>
                <w:rFonts w:hint="eastAsia" w:ascii="宋体" w:hAnsi="宋体" w:cs="宋体"/>
                <w:color w:val="000000"/>
                <w:kern w:val="0"/>
                <w:szCs w:val="21"/>
                <w:lang w:val="en-US" w:eastAsia="zh-CN"/>
              </w:rPr>
              <w:t>30</w:t>
            </w:r>
            <w:r>
              <w:rPr>
                <w:rFonts w:hint="eastAsia" w:ascii="宋体" w:hAnsi="宋体" w:cs="宋体"/>
                <w:color w:val="000000"/>
                <w:kern w:val="0"/>
                <w:szCs w:val="21"/>
              </w:rPr>
              <w:t>0</w:t>
            </w:r>
          </w:p>
        </w:tc>
      </w:tr>
      <w:tr w14:paraId="5ACF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6F47DC52">
            <w:pPr>
              <w:autoSpaceDE w:val="0"/>
              <w:autoSpaceDN w:val="0"/>
              <w:jc w:val="center"/>
              <w:rPr>
                <w:rFonts w:ascii="宋体" w:hAnsi="宋体"/>
                <w:color w:val="000000"/>
                <w:kern w:val="0"/>
                <w:szCs w:val="21"/>
              </w:rPr>
            </w:pPr>
          </w:p>
        </w:tc>
        <w:tc>
          <w:tcPr>
            <w:tcW w:w="1706" w:type="dxa"/>
            <w:gridSpan w:val="3"/>
            <w:vAlign w:val="center"/>
          </w:tcPr>
          <w:p w14:paraId="7732C1B3">
            <w:pPr>
              <w:autoSpaceDE w:val="0"/>
              <w:autoSpaceDN w:val="0"/>
              <w:jc w:val="center"/>
              <w:rPr>
                <w:rFonts w:ascii="宋体" w:hAnsi="宋体" w:cs="宋体"/>
                <w:color w:val="000000"/>
                <w:kern w:val="0"/>
                <w:szCs w:val="21"/>
              </w:rPr>
            </w:pPr>
            <w:r>
              <w:rPr>
                <w:rFonts w:hint="eastAsia" w:ascii="宋体" w:hAnsi="宋体" w:cs="宋体"/>
                <w:color w:val="000000"/>
                <w:kern w:val="0"/>
                <w:szCs w:val="21"/>
              </w:rPr>
              <w:t>站房</w:t>
            </w:r>
          </w:p>
        </w:tc>
        <w:tc>
          <w:tcPr>
            <w:tcW w:w="1559" w:type="dxa"/>
            <w:gridSpan w:val="3"/>
            <w:vAlign w:val="center"/>
          </w:tcPr>
          <w:p w14:paraId="6BB8501B">
            <w:pPr>
              <w:autoSpaceDE w:val="0"/>
              <w:autoSpaceDN w:val="0"/>
              <w:jc w:val="center"/>
              <w:rPr>
                <w:rFonts w:ascii="宋体" w:hAnsi="宋体"/>
                <w:color w:val="000000"/>
                <w:szCs w:val="21"/>
              </w:rPr>
            </w:pPr>
            <w:r>
              <w:rPr>
                <w:rFonts w:hint="eastAsia" w:ascii="宋体" w:hAnsi="宋体" w:cs="宋体"/>
                <w:color w:val="000000"/>
                <w:kern w:val="0"/>
                <w:szCs w:val="21"/>
              </w:rPr>
              <w:t>砖混</w:t>
            </w:r>
          </w:p>
        </w:tc>
        <w:tc>
          <w:tcPr>
            <w:tcW w:w="850" w:type="dxa"/>
            <w:gridSpan w:val="2"/>
            <w:vAlign w:val="center"/>
          </w:tcPr>
          <w:p w14:paraId="7EFECBCC">
            <w:pPr>
              <w:autoSpaceDE w:val="0"/>
              <w:autoSpaceDN w:val="0"/>
              <w:jc w:val="center"/>
              <w:rPr>
                <w:rFonts w:ascii="宋体" w:hAnsi="宋体" w:cs="宋体"/>
                <w:color w:val="000000"/>
                <w:kern w:val="0"/>
                <w:szCs w:val="21"/>
              </w:rPr>
            </w:pPr>
            <w:r>
              <w:rPr>
                <w:rFonts w:hint="eastAsia" w:ascii="宋体" w:hAnsi="宋体" w:cs="宋体"/>
                <w:color w:val="000000"/>
                <w:kern w:val="0"/>
                <w:szCs w:val="21"/>
              </w:rPr>
              <w:t>二级</w:t>
            </w:r>
          </w:p>
        </w:tc>
        <w:tc>
          <w:tcPr>
            <w:tcW w:w="993" w:type="dxa"/>
            <w:vAlign w:val="center"/>
          </w:tcPr>
          <w:p w14:paraId="11C2B38E">
            <w:pPr>
              <w:autoSpaceDE w:val="0"/>
              <w:autoSpaceDN w:val="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2</w:t>
            </w:r>
          </w:p>
        </w:tc>
        <w:tc>
          <w:tcPr>
            <w:tcW w:w="953" w:type="dxa"/>
            <w:vAlign w:val="center"/>
          </w:tcPr>
          <w:p w14:paraId="191FE77E">
            <w:pPr>
              <w:autoSpaceDE w:val="0"/>
              <w:autoSpaceDN w:val="0"/>
              <w:jc w:val="center"/>
              <w:rPr>
                <w:rFonts w:hint="default" w:ascii="宋体" w:hAnsi="宋体" w:eastAsia="宋体"/>
                <w:color w:val="000000"/>
                <w:szCs w:val="21"/>
                <w:lang w:val="en-US" w:eastAsia="zh-CN"/>
              </w:rPr>
            </w:pPr>
            <w:r>
              <w:rPr>
                <w:rFonts w:hint="eastAsia"/>
                <w:color w:val="000000"/>
                <w:szCs w:val="21"/>
                <w:lang w:val="en-US" w:eastAsia="zh-CN"/>
              </w:rPr>
              <w:t>7</w:t>
            </w:r>
          </w:p>
        </w:tc>
        <w:tc>
          <w:tcPr>
            <w:tcW w:w="1559" w:type="dxa"/>
            <w:gridSpan w:val="2"/>
            <w:vAlign w:val="center"/>
          </w:tcPr>
          <w:p w14:paraId="66A76D09">
            <w:pPr>
              <w:autoSpaceDE w:val="0"/>
              <w:autoSpaceDN w:val="0"/>
              <w:jc w:val="center"/>
              <w:rPr>
                <w:rFonts w:hint="default" w:ascii="宋体" w:hAnsi="宋体" w:eastAsia="宋体" w:cs="宋体"/>
                <w:color w:val="FF0000"/>
                <w:kern w:val="0"/>
                <w:szCs w:val="21"/>
                <w:lang w:val="en-US" w:eastAsia="zh-CN"/>
              </w:rPr>
            </w:pPr>
            <w:r>
              <w:rPr>
                <w:rFonts w:hint="eastAsia" w:ascii="宋体" w:hAnsi="宋体" w:cs="宋体"/>
                <w:color w:val="FF0000"/>
                <w:kern w:val="0"/>
                <w:szCs w:val="21"/>
                <w:lang w:val="en-US" w:eastAsia="zh-CN"/>
              </w:rPr>
              <w:t>127.8</w:t>
            </w:r>
          </w:p>
        </w:tc>
      </w:tr>
      <w:tr w14:paraId="53A6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1BC3DAA2">
            <w:pPr>
              <w:autoSpaceDE w:val="0"/>
              <w:autoSpaceDN w:val="0"/>
              <w:jc w:val="center"/>
              <w:rPr>
                <w:rFonts w:ascii="宋体" w:hAnsi="宋体"/>
                <w:color w:val="000000"/>
                <w:kern w:val="0"/>
                <w:szCs w:val="21"/>
              </w:rPr>
            </w:pPr>
            <w:r>
              <w:rPr>
                <w:rFonts w:hint="eastAsia" w:ascii="宋体" w:hAnsi="宋体" w:cs="宋体"/>
                <w:b/>
                <w:color w:val="000000"/>
                <w:kern w:val="0"/>
                <w:szCs w:val="21"/>
              </w:rPr>
              <w:t>储罐情况</w:t>
            </w:r>
            <w:r>
              <w:rPr>
                <w:rFonts w:ascii="宋体" w:hAnsi="宋体" w:cs="宋体"/>
                <w:b/>
                <w:color w:val="000000"/>
                <w:kern w:val="0"/>
                <w:szCs w:val="21"/>
              </w:rPr>
              <w:t>(</w:t>
            </w:r>
            <w:r>
              <w:rPr>
                <w:rFonts w:hint="eastAsia" w:ascii="宋体" w:hAnsi="宋体" w:cs="宋体"/>
                <w:b/>
                <w:color w:val="000000"/>
                <w:kern w:val="0"/>
                <w:szCs w:val="21"/>
              </w:rPr>
              <w:t>埋地油罐的数量及型号</w:t>
            </w:r>
            <w:r>
              <w:rPr>
                <w:rFonts w:ascii="宋体" w:hAnsi="宋体" w:cs="宋体"/>
                <w:b/>
                <w:color w:val="000000"/>
                <w:kern w:val="0"/>
                <w:szCs w:val="21"/>
              </w:rPr>
              <w:t>)</w:t>
            </w:r>
          </w:p>
        </w:tc>
        <w:tc>
          <w:tcPr>
            <w:tcW w:w="875" w:type="dxa"/>
            <w:gridSpan w:val="2"/>
            <w:vAlign w:val="center"/>
          </w:tcPr>
          <w:p w14:paraId="7104237E">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序号</w:t>
            </w:r>
          </w:p>
        </w:tc>
        <w:tc>
          <w:tcPr>
            <w:tcW w:w="1807" w:type="dxa"/>
            <w:gridSpan w:val="3"/>
            <w:vAlign w:val="center"/>
          </w:tcPr>
          <w:p w14:paraId="05300F87">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油品名称及编号</w:t>
            </w:r>
          </w:p>
        </w:tc>
        <w:tc>
          <w:tcPr>
            <w:tcW w:w="1555" w:type="dxa"/>
            <w:gridSpan w:val="2"/>
            <w:vAlign w:val="center"/>
          </w:tcPr>
          <w:p w14:paraId="277999E2">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单罐容积/台数</w:t>
            </w:r>
          </w:p>
        </w:tc>
        <w:tc>
          <w:tcPr>
            <w:tcW w:w="953" w:type="dxa"/>
            <w:vAlign w:val="center"/>
          </w:tcPr>
          <w:p w14:paraId="585AF18C">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材质</w:t>
            </w:r>
          </w:p>
        </w:tc>
        <w:tc>
          <w:tcPr>
            <w:tcW w:w="1559" w:type="dxa"/>
            <w:gridSpan w:val="2"/>
            <w:vAlign w:val="center"/>
          </w:tcPr>
          <w:p w14:paraId="13FCF34C">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形式</w:t>
            </w:r>
          </w:p>
        </w:tc>
      </w:tr>
      <w:tr w14:paraId="733D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256D830">
            <w:pPr>
              <w:autoSpaceDE w:val="0"/>
              <w:autoSpaceDN w:val="0"/>
              <w:jc w:val="center"/>
              <w:rPr>
                <w:rFonts w:ascii="宋体" w:hAnsi="宋体" w:cs="宋体"/>
                <w:color w:val="000000"/>
                <w:kern w:val="0"/>
                <w:szCs w:val="21"/>
              </w:rPr>
            </w:pPr>
          </w:p>
        </w:tc>
        <w:tc>
          <w:tcPr>
            <w:tcW w:w="875" w:type="dxa"/>
            <w:gridSpan w:val="2"/>
            <w:vAlign w:val="center"/>
          </w:tcPr>
          <w:p w14:paraId="63A1AB23">
            <w:pPr>
              <w:autoSpaceDE w:val="0"/>
              <w:autoSpaceDN w:val="0"/>
              <w:jc w:val="center"/>
              <w:rPr>
                <w:rFonts w:ascii="宋体" w:hAnsi="宋体"/>
                <w:color w:val="000000"/>
                <w:kern w:val="0"/>
                <w:szCs w:val="21"/>
              </w:rPr>
            </w:pPr>
            <w:r>
              <w:rPr>
                <w:rFonts w:hint="eastAsia" w:ascii="宋体" w:hAnsi="宋体"/>
                <w:color w:val="000000"/>
                <w:kern w:val="0"/>
                <w:szCs w:val="21"/>
              </w:rPr>
              <w:t>1</w:t>
            </w:r>
          </w:p>
        </w:tc>
        <w:tc>
          <w:tcPr>
            <w:tcW w:w="1807" w:type="dxa"/>
            <w:gridSpan w:val="3"/>
            <w:vAlign w:val="center"/>
          </w:tcPr>
          <w:p w14:paraId="06971251">
            <w:pPr>
              <w:autoSpaceDE w:val="0"/>
              <w:autoSpaceDN w:val="0"/>
              <w:jc w:val="center"/>
              <w:rPr>
                <w:rFonts w:ascii="宋体" w:hAnsi="宋体" w:cs="宋体"/>
                <w:color w:val="000000"/>
                <w:kern w:val="0"/>
                <w:szCs w:val="21"/>
              </w:rPr>
            </w:pPr>
            <w:r>
              <w:rPr>
                <w:rFonts w:ascii="宋体" w:hAnsi="宋体" w:cs="宋体"/>
                <w:color w:val="000000"/>
                <w:kern w:val="0"/>
                <w:szCs w:val="21"/>
              </w:rPr>
              <w:t>9</w:t>
            </w:r>
            <w:r>
              <w:rPr>
                <w:rFonts w:hint="eastAsia" w:ascii="宋体" w:hAnsi="宋体" w:cs="宋体"/>
                <w:color w:val="000000"/>
                <w:kern w:val="0"/>
                <w:szCs w:val="21"/>
              </w:rPr>
              <w:t>2#</w:t>
            </w:r>
            <w:r>
              <w:rPr>
                <w:rFonts w:hint="eastAsia" w:ascii="宋体" w:hAnsi="宋体" w:cs="宋体"/>
                <w:color w:val="000000"/>
                <w:kern w:val="0"/>
                <w:szCs w:val="21"/>
                <w:vertAlign w:val="superscript"/>
              </w:rPr>
              <w:t>#</w:t>
            </w:r>
            <w:r>
              <w:rPr>
                <w:rFonts w:hint="eastAsia" w:ascii="宋体" w:hAnsi="宋体" w:cs="宋体"/>
                <w:color w:val="000000"/>
                <w:kern w:val="0"/>
                <w:szCs w:val="21"/>
              </w:rPr>
              <w:t>汽油</w:t>
            </w:r>
          </w:p>
        </w:tc>
        <w:tc>
          <w:tcPr>
            <w:tcW w:w="1555" w:type="dxa"/>
            <w:gridSpan w:val="2"/>
            <w:vAlign w:val="center"/>
          </w:tcPr>
          <w:p w14:paraId="5ADD9184">
            <w:pPr>
              <w:autoSpaceDE w:val="0"/>
              <w:autoSpaceDN w:val="0"/>
              <w:jc w:val="center"/>
              <w:rPr>
                <w:rFonts w:ascii="宋体" w:hAnsi="宋体" w:cs="宋体"/>
                <w:color w:val="000000"/>
                <w:kern w:val="0"/>
                <w:szCs w:val="21"/>
              </w:rPr>
            </w:pPr>
            <w:r>
              <w:rPr>
                <w:rFonts w:hint="eastAsia" w:ascii="宋体" w:hAnsi="宋体" w:cs="宋体"/>
                <w:color w:val="000000"/>
                <w:kern w:val="0"/>
                <w:szCs w:val="21"/>
              </w:rPr>
              <w:t>30</w:t>
            </w:r>
            <w:r>
              <w:rPr>
                <w:rFonts w:ascii="宋体" w:hAnsi="宋体" w:cs="宋体"/>
                <w:color w:val="000000"/>
                <w:kern w:val="0"/>
                <w:szCs w:val="21"/>
              </w:rPr>
              <w:t>m</w:t>
            </w:r>
            <w:r>
              <w:rPr>
                <w:rFonts w:hint="eastAsia" w:ascii="宋体" w:hAnsi="宋体" w:cs="宋体"/>
                <w:color w:val="000000"/>
                <w:kern w:val="0"/>
                <w:szCs w:val="21"/>
                <w:vertAlign w:val="superscript"/>
              </w:rPr>
              <w:t>3</w:t>
            </w:r>
            <w:r>
              <w:rPr>
                <w:rFonts w:hint="eastAsia" w:ascii="宋体" w:hAnsi="宋体" w:cs="宋体"/>
                <w:color w:val="000000"/>
                <w:kern w:val="0"/>
                <w:szCs w:val="21"/>
              </w:rPr>
              <w:t>×1</w:t>
            </w:r>
            <w:r>
              <w:rPr>
                <w:rFonts w:ascii="宋体" w:hAnsi="宋体" w:cs="宋体"/>
                <w:color w:val="000000"/>
                <w:kern w:val="0"/>
                <w:szCs w:val="21"/>
              </w:rPr>
              <w:t>(</w:t>
            </w:r>
            <w:r>
              <w:rPr>
                <w:rFonts w:hint="eastAsia" w:ascii="宋体" w:hAnsi="宋体" w:cs="宋体"/>
                <w:color w:val="000000"/>
                <w:kern w:val="0"/>
                <w:szCs w:val="21"/>
              </w:rPr>
              <w:t>个</w:t>
            </w:r>
            <w:r>
              <w:rPr>
                <w:rFonts w:ascii="宋体" w:hAnsi="宋体" w:cs="宋体"/>
                <w:color w:val="000000"/>
                <w:kern w:val="0"/>
                <w:szCs w:val="21"/>
              </w:rPr>
              <w:t>)</w:t>
            </w:r>
          </w:p>
        </w:tc>
        <w:tc>
          <w:tcPr>
            <w:tcW w:w="953" w:type="dxa"/>
            <w:vAlign w:val="center"/>
          </w:tcPr>
          <w:p w14:paraId="24BD12CD">
            <w:pPr>
              <w:autoSpaceDE w:val="0"/>
              <w:autoSpaceDN w:val="0"/>
              <w:jc w:val="center"/>
              <w:rPr>
                <w:rFonts w:ascii="宋体" w:hAnsi="宋体" w:cs="宋体"/>
                <w:color w:val="000000"/>
                <w:kern w:val="0"/>
                <w:szCs w:val="21"/>
              </w:rPr>
            </w:pPr>
            <w:r>
              <w:rPr>
                <w:rFonts w:hint="eastAsia" w:ascii="宋体" w:hAnsi="宋体" w:cs="宋体"/>
                <w:color w:val="000000"/>
                <w:kern w:val="0"/>
                <w:szCs w:val="21"/>
              </w:rPr>
              <w:t>SF</w:t>
            </w:r>
          </w:p>
        </w:tc>
        <w:tc>
          <w:tcPr>
            <w:tcW w:w="1559" w:type="dxa"/>
            <w:gridSpan w:val="2"/>
            <w:vAlign w:val="center"/>
          </w:tcPr>
          <w:p w14:paraId="06D92ADD">
            <w:pPr>
              <w:autoSpaceDE w:val="0"/>
              <w:autoSpaceDN w:val="0"/>
              <w:jc w:val="center"/>
              <w:rPr>
                <w:rFonts w:ascii="宋体" w:hAnsi="宋体" w:cs="宋体"/>
                <w:color w:val="000000"/>
                <w:kern w:val="0"/>
                <w:szCs w:val="21"/>
              </w:rPr>
            </w:pPr>
            <w:r>
              <w:rPr>
                <w:rFonts w:hint="eastAsia" w:ascii="宋体" w:hAnsi="宋体" w:cs="宋体"/>
                <w:color w:val="000000"/>
                <w:kern w:val="0"/>
                <w:szCs w:val="21"/>
              </w:rPr>
              <w:t>埋地卧式</w:t>
            </w:r>
          </w:p>
        </w:tc>
      </w:tr>
      <w:tr w14:paraId="0129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0D857A2B">
            <w:pPr>
              <w:autoSpaceDE w:val="0"/>
              <w:autoSpaceDN w:val="0"/>
              <w:jc w:val="center"/>
              <w:rPr>
                <w:rFonts w:ascii="宋体" w:hAnsi="宋体" w:cs="宋体"/>
                <w:color w:val="000000"/>
                <w:kern w:val="0"/>
                <w:szCs w:val="21"/>
              </w:rPr>
            </w:pPr>
          </w:p>
        </w:tc>
        <w:tc>
          <w:tcPr>
            <w:tcW w:w="875" w:type="dxa"/>
            <w:gridSpan w:val="2"/>
            <w:vAlign w:val="center"/>
          </w:tcPr>
          <w:p w14:paraId="1D58BF06">
            <w:pPr>
              <w:autoSpaceDE w:val="0"/>
              <w:autoSpaceDN w:val="0"/>
              <w:jc w:val="center"/>
              <w:rPr>
                <w:rFonts w:ascii="宋体" w:hAnsi="宋体"/>
                <w:color w:val="000000"/>
                <w:kern w:val="0"/>
                <w:szCs w:val="21"/>
              </w:rPr>
            </w:pPr>
            <w:r>
              <w:rPr>
                <w:rFonts w:hint="eastAsia" w:ascii="宋体" w:hAnsi="宋体"/>
                <w:color w:val="000000"/>
                <w:kern w:val="0"/>
                <w:szCs w:val="21"/>
              </w:rPr>
              <w:t>2</w:t>
            </w:r>
          </w:p>
        </w:tc>
        <w:tc>
          <w:tcPr>
            <w:tcW w:w="1807" w:type="dxa"/>
            <w:gridSpan w:val="3"/>
            <w:vAlign w:val="center"/>
          </w:tcPr>
          <w:p w14:paraId="728CF48B">
            <w:pPr>
              <w:autoSpaceDE w:val="0"/>
              <w:autoSpaceDN w:val="0"/>
              <w:jc w:val="center"/>
              <w:rPr>
                <w:rFonts w:ascii="宋体" w:hAnsi="宋体" w:cs="宋体"/>
                <w:color w:val="000000"/>
                <w:kern w:val="0"/>
                <w:szCs w:val="21"/>
              </w:rPr>
            </w:pPr>
            <w:r>
              <w:rPr>
                <w:rFonts w:ascii="宋体" w:hAnsi="宋体" w:cs="宋体"/>
                <w:color w:val="000000"/>
                <w:kern w:val="0"/>
                <w:szCs w:val="21"/>
              </w:rPr>
              <w:t>9</w:t>
            </w:r>
            <w:r>
              <w:rPr>
                <w:rFonts w:hint="eastAsia" w:ascii="宋体" w:hAnsi="宋体" w:cs="宋体"/>
                <w:color w:val="000000"/>
                <w:kern w:val="0"/>
                <w:szCs w:val="21"/>
              </w:rPr>
              <w:t>5#</w:t>
            </w:r>
            <w:r>
              <w:rPr>
                <w:rFonts w:hint="eastAsia" w:ascii="宋体" w:hAnsi="宋体" w:cs="宋体"/>
                <w:color w:val="000000"/>
                <w:kern w:val="0"/>
                <w:szCs w:val="21"/>
                <w:vertAlign w:val="superscript"/>
              </w:rPr>
              <w:t>#</w:t>
            </w:r>
            <w:r>
              <w:rPr>
                <w:rFonts w:hint="eastAsia" w:ascii="宋体" w:hAnsi="宋体" w:cs="宋体"/>
                <w:color w:val="000000"/>
                <w:kern w:val="0"/>
                <w:szCs w:val="21"/>
              </w:rPr>
              <w:t>汽油</w:t>
            </w:r>
          </w:p>
        </w:tc>
        <w:tc>
          <w:tcPr>
            <w:tcW w:w="1555" w:type="dxa"/>
            <w:gridSpan w:val="2"/>
            <w:vAlign w:val="center"/>
          </w:tcPr>
          <w:p w14:paraId="27F5685C">
            <w:pPr>
              <w:autoSpaceDE w:val="0"/>
              <w:autoSpaceDN w:val="0"/>
              <w:jc w:val="center"/>
              <w:rPr>
                <w:rFonts w:ascii="宋体" w:hAnsi="宋体" w:cs="宋体"/>
                <w:color w:val="000000"/>
                <w:kern w:val="0"/>
                <w:szCs w:val="21"/>
              </w:rPr>
            </w:pPr>
            <w:r>
              <w:rPr>
                <w:rFonts w:hint="eastAsia" w:ascii="宋体" w:hAnsi="宋体" w:cs="宋体"/>
                <w:color w:val="000000"/>
                <w:kern w:val="0"/>
                <w:szCs w:val="21"/>
              </w:rPr>
              <w:t>30</w:t>
            </w:r>
            <w:r>
              <w:rPr>
                <w:rFonts w:ascii="宋体" w:hAnsi="宋体" w:cs="宋体"/>
                <w:color w:val="000000"/>
                <w:kern w:val="0"/>
                <w:szCs w:val="21"/>
              </w:rPr>
              <w:t>m</w:t>
            </w:r>
            <w:r>
              <w:rPr>
                <w:rFonts w:hint="eastAsia" w:ascii="宋体" w:hAnsi="宋体" w:cs="宋体"/>
                <w:color w:val="000000"/>
                <w:kern w:val="0"/>
                <w:szCs w:val="21"/>
                <w:vertAlign w:val="superscript"/>
              </w:rPr>
              <w:t>3</w:t>
            </w:r>
            <w:r>
              <w:rPr>
                <w:rFonts w:hint="eastAsia" w:ascii="宋体" w:hAnsi="宋体" w:cs="宋体"/>
                <w:color w:val="000000"/>
                <w:kern w:val="0"/>
                <w:szCs w:val="21"/>
              </w:rPr>
              <w:t>×1</w:t>
            </w:r>
            <w:r>
              <w:rPr>
                <w:rFonts w:ascii="宋体" w:hAnsi="宋体" w:cs="宋体"/>
                <w:color w:val="000000"/>
                <w:kern w:val="0"/>
                <w:szCs w:val="21"/>
              </w:rPr>
              <w:t>(</w:t>
            </w:r>
            <w:r>
              <w:rPr>
                <w:rFonts w:hint="eastAsia" w:ascii="宋体" w:hAnsi="宋体" w:cs="宋体"/>
                <w:color w:val="000000"/>
                <w:kern w:val="0"/>
                <w:szCs w:val="21"/>
              </w:rPr>
              <w:t>个</w:t>
            </w:r>
            <w:r>
              <w:rPr>
                <w:rFonts w:ascii="宋体" w:hAnsi="宋体" w:cs="宋体"/>
                <w:color w:val="000000"/>
                <w:kern w:val="0"/>
                <w:szCs w:val="21"/>
              </w:rPr>
              <w:t>)</w:t>
            </w:r>
          </w:p>
        </w:tc>
        <w:tc>
          <w:tcPr>
            <w:tcW w:w="953" w:type="dxa"/>
            <w:vAlign w:val="center"/>
          </w:tcPr>
          <w:p w14:paraId="49B8FB7D">
            <w:pPr>
              <w:autoSpaceDE w:val="0"/>
              <w:autoSpaceDN w:val="0"/>
              <w:jc w:val="center"/>
              <w:rPr>
                <w:rFonts w:ascii="宋体" w:hAnsi="宋体" w:cs="宋体"/>
                <w:color w:val="000000"/>
                <w:kern w:val="0"/>
                <w:szCs w:val="21"/>
              </w:rPr>
            </w:pPr>
            <w:r>
              <w:rPr>
                <w:rFonts w:hint="eastAsia" w:ascii="宋体" w:hAnsi="宋体" w:cs="宋体"/>
                <w:color w:val="000000"/>
                <w:kern w:val="0"/>
                <w:szCs w:val="21"/>
              </w:rPr>
              <w:t>SF</w:t>
            </w:r>
          </w:p>
        </w:tc>
        <w:tc>
          <w:tcPr>
            <w:tcW w:w="1559" w:type="dxa"/>
            <w:gridSpan w:val="2"/>
            <w:vAlign w:val="center"/>
          </w:tcPr>
          <w:p w14:paraId="072E80DD">
            <w:pPr>
              <w:autoSpaceDE w:val="0"/>
              <w:autoSpaceDN w:val="0"/>
              <w:jc w:val="center"/>
              <w:rPr>
                <w:rFonts w:ascii="宋体" w:hAnsi="宋体" w:cs="宋体"/>
                <w:color w:val="000000"/>
                <w:kern w:val="0"/>
                <w:szCs w:val="21"/>
              </w:rPr>
            </w:pPr>
            <w:r>
              <w:rPr>
                <w:rFonts w:hint="eastAsia" w:ascii="宋体" w:hAnsi="宋体" w:cs="宋体"/>
                <w:color w:val="000000"/>
                <w:kern w:val="0"/>
                <w:szCs w:val="21"/>
              </w:rPr>
              <w:t>埋地卧式</w:t>
            </w:r>
          </w:p>
        </w:tc>
      </w:tr>
      <w:tr w14:paraId="0722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28B679E">
            <w:pPr>
              <w:autoSpaceDE w:val="0"/>
              <w:autoSpaceDN w:val="0"/>
              <w:jc w:val="center"/>
              <w:rPr>
                <w:rFonts w:ascii="宋体" w:hAnsi="宋体" w:cs="宋体"/>
                <w:color w:val="000000"/>
                <w:kern w:val="0"/>
                <w:szCs w:val="21"/>
              </w:rPr>
            </w:pPr>
          </w:p>
        </w:tc>
        <w:tc>
          <w:tcPr>
            <w:tcW w:w="875" w:type="dxa"/>
            <w:gridSpan w:val="2"/>
            <w:vAlign w:val="center"/>
          </w:tcPr>
          <w:p w14:paraId="404E007D">
            <w:pPr>
              <w:autoSpaceDE w:val="0"/>
              <w:autoSpaceDN w:val="0"/>
              <w:jc w:val="center"/>
              <w:rPr>
                <w:rFonts w:ascii="宋体" w:hAnsi="宋体"/>
                <w:color w:val="000000"/>
                <w:kern w:val="0"/>
                <w:szCs w:val="21"/>
              </w:rPr>
            </w:pPr>
            <w:r>
              <w:rPr>
                <w:rFonts w:hint="eastAsia" w:ascii="宋体" w:hAnsi="宋体"/>
                <w:color w:val="000000"/>
                <w:kern w:val="0"/>
                <w:szCs w:val="21"/>
              </w:rPr>
              <w:t>3</w:t>
            </w:r>
          </w:p>
        </w:tc>
        <w:tc>
          <w:tcPr>
            <w:tcW w:w="1807" w:type="dxa"/>
            <w:gridSpan w:val="3"/>
            <w:vAlign w:val="center"/>
          </w:tcPr>
          <w:p w14:paraId="32886A85">
            <w:pPr>
              <w:autoSpaceDE w:val="0"/>
              <w:autoSpaceDN w:val="0"/>
              <w:jc w:val="center"/>
              <w:rPr>
                <w:rFonts w:ascii="宋体" w:hAnsi="宋体" w:cs="宋体"/>
                <w:color w:val="000000"/>
                <w:kern w:val="0"/>
                <w:szCs w:val="21"/>
              </w:rPr>
            </w:pPr>
            <w:r>
              <w:rPr>
                <w:rFonts w:hint="eastAsia" w:ascii="宋体" w:hAnsi="宋体" w:cs="宋体"/>
                <w:color w:val="000000"/>
                <w:kern w:val="0"/>
                <w:szCs w:val="21"/>
              </w:rPr>
              <w:t>0#柴油</w:t>
            </w:r>
          </w:p>
        </w:tc>
        <w:tc>
          <w:tcPr>
            <w:tcW w:w="1555" w:type="dxa"/>
            <w:gridSpan w:val="2"/>
            <w:vAlign w:val="center"/>
          </w:tcPr>
          <w:p w14:paraId="5A7FFFE7">
            <w:pPr>
              <w:autoSpaceDE w:val="0"/>
              <w:autoSpaceDN w:val="0"/>
              <w:jc w:val="center"/>
              <w:rPr>
                <w:rFonts w:ascii="宋体" w:hAnsi="宋体" w:cs="宋体"/>
                <w:color w:val="000000"/>
                <w:kern w:val="0"/>
                <w:szCs w:val="21"/>
              </w:rPr>
            </w:pPr>
            <w:r>
              <w:rPr>
                <w:rFonts w:hint="eastAsia" w:ascii="宋体" w:hAnsi="宋体" w:cs="宋体"/>
                <w:color w:val="000000"/>
                <w:kern w:val="0"/>
                <w:szCs w:val="21"/>
                <w:lang w:val="en-US" w:eastAsia="zh-CN"/>
              </w:rPr>
              <w:t>5</w:t>
            </w:r>
            <w:r>
              <w:rPr>
                <w:rFonts w:hint="eastAsia" w:ascii="宋体" w:hAnsi="宋体" w:cs="宋体"/>
                <w:color w:val="000000"/>
                <w:kern w:val="0"/>
                <w:szCs w:val="21"/>
              </w:rPr>
              <w:t>0</w:t>
            </w:r>
            <w:r>
              <w:rPr>
                <w:rFonts w:ascii="宋体" w:hAnsi="宋体" w:cs="宋体"/>
                <w:color w:val="000000"/>
                <w:kern w:val="0"/>
                <w:szCs w:val="21"/>
              </w:rPr>
              <w:t>m</w:t>
            </w:r>
            <w:r>
              <w:rPr>
                <w:rFonts w:hint="eastAsia" w:ascii="宋体" w:hAnsi="宋体" w:cs="宋体"/>
                <w:color w:val="000000"/>
                <w:kern w:val="0"/>
                <w:szCs w:val="21"/>
                <w:vertAlign w:val="superscript"/>
              </w:rPr>
              <w:t>3</w:t>
            </w:r>
            <w:r>
              <w:rPr>
                <w:rFonts w:hint="eastAsia" w:ascii="宋体" w:hAnsi="宋体" w:cs="宋体"/>
                <w:color w:val="000000"/>
                <w:kern w:val="0"/>
                <w:szCs w:val="21"/>
              </w:rPr>
              <w:t>×1</w:t>
            </w:r>
            <w:r>
              <w:rPr>
                <w:rFonts w:ascii="宋体" w:hAnsi="宋体" w:cs="宋体"/>
                <w:color w:val="000000"/>
                <w:kern w:val="0"/>
                <w:szCs w:val="21"/>
              </w:rPr>
              <w:t>(</w:t>
            </w:r>
            <w:r>
              <w:rPr>
                <w:rFonts w:hint="eastAsia" w:ascii="宋体" w:hAnsi="宋体" w:cs="宋体"/>
                <w:color w:val="FF0000"/>
                <w:kern w:val="0"/>
                <w:szCs w:val="21"/>
              </w:rPr>
              <w:t>个</w:t>
            </w:r>
            <w:r>
              <w:rPr>
                <w:rFonts w:ascii="宋体" w:hAnsi="宋体" w:cs="宋体"/>
                <w:color w:val="FF0000"/>
                <w:kern w:val="0"/>
                <w:szCs w:val="21"/>
              </w:rPr>
              <w:t>)</w:t>
            </w:r>
          </w:p>
        </w:tc>
        <w:tc>
          <w:tcPr>
            <w:tcW w:w="953" w:type="dxa"/>
            <w:vAlign w:val="center"/>
          </w:tcPr>
          <w:p w14:paraId="280BB529">
            <w:pPr>
              <w:autoSpaceDE w:val="0"/>
              <w:autoSpaceDN w:val="0"/>
              <w:jc w:val="center"/>
              <w:rPr>
                <w:rFonts w:ascii="宋体" w:hAnsi="宋体" w:cs="宋体"/>
                <w:color w:val="000000"/>
                <w:kern w:val="0"/>
                <w:szCs w:val="21"/>
              </w:rPr>
            </w:pPr>
            <w:r>
              <w:rPr>
                <w:rFonts w:hint="eastAsia" w:ascii="宋体" w:hAnsi="宋体" w:cs="宋体"/>
                <w:color w:val="000000"/>
                <w:kern w:val="0"/>
                <w:szCs w:val="21"/>
              </w:rPr>
              <w:t>SF</w:t>
            </w:r>
          </w:p>
        </w:tc>
        <w:tc>
          <w:tcPr>
            <w:tcW w:w="1559" w:type="dxa"/>
            <w:gridSpan w:val="2"/>
            <w:vAlign w:val="center"/>
          </w:tcPr>
          <w:p w14:paraId="389CD0E0">
            <w:pPr>
              <w:autoSpaceDE w:val="0"/>
              <w:autoSpaceDN w:val="0"/>
              <w:jc w:val="center"/>
              <w:rPr>
                <w:rFonts w:ascii="宋体" w:hAnsi="宋体" w:cs="宋体"/>
                <w:color w:val="000000"/>
                <w:kern w:val="0"/>
                <w:szCs w:val="21"/>
              </w:rPr>
            </w:pPr>
            <w:r>
              <w:rPr>
                <w:rFonts w:hint="eastAsia" w:ascii="宋体" w:hAnsi="宋体" w:cs="宋体"/>
                <w:color w:val="000000"/>
                <w:kern w:val="0"/>
                <w:szCs w:val="21"/>
              </w:rPr>
              <w:t>埋地卧式</w:t>
            </w:r>
          </w:p>
        </w:tc>
      </w:tr>
      <w:tr w14:paraId="5690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21982E02">
            <w:pPr>
              <w:autoSpaceDE w:val="0"/>
              <w:autoSpaceDN w:val="0"/>
              <w:jc w:val="left"/>
              <w:rPr>
                <w:rFonts w:ascii="宋体" w:hAnsi="宋体" w:cs="宋体"/>
                <w:b/>
                <w:color w:val="FF0000"/>
                <w:kern w:val="0"/>
                <w:szCs w:val="21"/>
              </w:rPr>
            </w:pPr>
            <w:r>
              <w:rPr>
                <w:rFonts w:hint="eastAsia" w:ascii="宋体" w:hAnsi="宋体" w:cs="宋体"/>
                <w:b/>
                <w:color w:val="000000"/>
                <w:kern w:val="0"/>
                <w:szCs w:val="21"/>
              </w:rPr>
              <w:t>油罐安全附件</w:t>
            </w:r>
          </w:p>
        </w:tc>
        <w:tc>
          <w:tcPr>
            <w:tcW w:w="875" w:type="dxa"/>
            <w:gridSpan w:val="2"/>
            <w:vAlign w:val="center"/>
          </w:tcPr>
          <w:p w14:paraId="5A4AD047">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序号</w:t>
            </w:r>
          </w:p>
        </w:tc>
        <w:tc>
          <w:tcPr>
            <w:tcW w:w="1807" w:type="dxa"/>
            <w:gridSpan w:val="3"/>
            <w:vAlign w:val="center"/>
          </w:tcPr>
          <w:p w14:paraId="0FA0F3ED">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名称</w:t>
            </w:r>
          </w:p>
        </w:tc>
        <w:tc>
          <w:tcPr>
            <w:tcW w:w="1555" w:type="dxa"/>
            <w:gridSpan w:val="2"/>
            <w:vAlign w:val="center"/>
          </w:tcPr>
          <w:p w14:paraId="530676B8">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型号、规格</w:t>
            </w:r>
          </w:p>
        </w:tc>
        <w:tc>
          <w:tcPr>
            <w:tcW w:w="953" w:type="dxa"/>
            <w:vAlign w:val="center"/>
          </w:tcPr>
          <w:p w14:paraId="11D3A7BE">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数量</w:t>
            </w:r>
          </w:p>
        </w:tc>
        <w:tc>
          <w:tcPr>
            <w:tcW w:w="1559" w:type="dxa"/>
            <w:gridSpan w:val="2"/>
            <w:vAlign w:val="center"/>
          </w:tcPr>
          <w:p w14:paraId="46B24B2F">
            <w:pPr>
              <w:autoSpaceDE w:val="0"/>
              <w:autoSpaceDN w:val="0"/>
              <w:jc w:val="center"/>
              <w:rPr>
                <w:rFonts w:ascii="宋体" w:hAnsi="宋体" w:cs="宋体"/>
                <w:color w:val="000000"/>
                <w:kern w:val="0"/>
                <w:szCs w:val="21"/>
              </w:rPr>
            </w:pPr>
            <w:r>
              <w:rPr>
                <w:rFonts w:hint="eastAsia" w:ascii="宋体" w:hAnsi="宋体" w:cs="宋体"/>
                <w:b/>
                <w:color w:val="000000"/>
                <w:kern w:val="0"/>
                <w:szCs w:val="21"/>
              </w:rPr>
              <w:t>状况</w:t>
            </w:r>
          </w:p>
        </w:tc>
      </w:tr>
      <w:tr w14:paraId="1DFF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CCAA027">
            <w:pPr>
              <w:autoSpaceDE w:val="0"/>
              <w:autoSpaceDN w:val="0"/>
              <w:jc w:val="center"/>
              <w:rPr>
                <w:rFonts w:ascii="宋体" w:hAnsi="宋体" w:cs="宋体"/>
                <w:color w:val="000000"/>
                <w:kern w:val="0"/>
                <w:szCs w:val="21"/>
              </w:rPr>
            </w:pPr>
          </w:p>
        </w:tc>
        <w:tc>
          <w:tcPr>
            <w:tcW w:w="875" w:type="dxa"/>
            <w:gridSpan w:val="2"/>
            <w:vAlign w:val="center"/>
          </w:tcPr>
          <w:p w14:paraId="09E51277">
            <w:pPr>
              <w:autoSpaceDE w:val="0"/>
              <w:autoSpaceDN w:val="0"/>
              <w:jc w:val="center"/>
              <w:rPr>
                <w:rFonts w:ascii="宋体" w:hAnsi="宋体"/>
                <w:color w:val="000000"/>
                <w:kern w:val="0"/>
                <w:szCs w:val="21"/>
              </w:rPr>
            </w:pPr>
            <w:r>
              <w:rPr>
                <w:rFonts w:hint="eastAsia" w:ascii="宋体" w:hAnsi="宋体"/>
                <w:color w:val="000000"/>
                <w:kern w:val="0"/>
                <w:szCs w:val="21"/>
              </w:rPr>
              <w:t>1</w:t>
            </w:r>
          </w:p>
        </w:tc>
        <w:tc>
          <w:tcPr>
            <w:tcW w:w="1807" w:type="dxa"/>
            <w:gridSpan w:val="3"/>
            <w:vAlign w:val="center"/>
          </w:tcPr>
          <w:p w14:paraId="4CA1CDEE">
            <w:pPr>
              <w:autoSpaceDE w:val="0"/>
              <w:autoSpaceDN w:val="0"/>
              <w:jc w:val="center"/>
              <w:rPr>
                <w:rFonts w:ascii="宋体" w:hAnsi="宋体" w:cs="宋体"/>
                <w:color w:val="000000"/>
                <w:kern w:val="0"/>
                <w:szCs w:val="21"/>
              </w:rPr>
            </w:pPr>
            <w:r>
              <w:rPr>
                <w:rFonts w:hint="eastAsia" w:ascii="宋体" w:hAnsi="宋体" w:cs="宋体"/>
                <w:color w:val="000000"/>
                <w:kern w:val="0"/>
                <w:szCs w:val="21"/>
              </w:rPr>
              <w:t>静电接地装置</w:t>
            </w:r>
          </w:p>
        </w:tc>
        <w:tc>
          <w:tcPr>
            <w:tcW w:w="1555" w:type="dxa"/>
            <w:gridSpan w:val="2"/>
            <w:vAlign w:val="center"/>
          </w:tcPr>
          <w:p w14:paraId="4D7F3FD3">
            <w:pPr>
              <w:autoSpaceDE w:val="0"/>
              <w:autoSpaceDN w:val="0"/>
              <w:jc w:val="center"/>
              <w:rPr>
                <w:rFonts w:ascii="宋体" w:hAnsi="宋体" w:cs="宋体"/>
                <w:color w:val="000000"/>
                <w:kern w:val="0"/>
                <w:szCs w:val="21"/>
              </w:rPr>
            </w:pPr>
            <w:r>
              <w:rPr>
                <w:rFonts w:hint="eastAsia" w:ascii="宋体" w:hAnsi="宋体" w:cs="宋体"/>
                <w:color w:val="000000"/>
                <w:kern w:val="0"/>
                <w:szCs w:val="21"/>
              </w:rPr>
              <w:t>SA-MF</w:t>
            </w:r>
          </w:p>
        </w:tc>
        <w:tc>
          <w:tcPr>
            <w:tcW w:w="953" w:type="dxa"/>
            <w:vAlign w:val="center"/>
          </w:tcPr>
          <w:p w14:paraId="1C0F99C7">
            <w:pPr>
              <w:autoSpaceDE w:val="0"/>
              <w:autoSpaceDN w:val="0"/>
              <w:jc w:val="center"/>
              <w:rPr>
                <w:rFonts w:ascii="宋体" w:hAnsi="宋体" w:cs="宋体"/>
                <w:color w:val="000000"/>
                <w:kern w:val="0"/>
                <w:szCs w:val="21"/>
              </w:rPr>
            </w:pPr>
            <w:r>
              <w:rPr>
                <w:rFonts w:hint="eastAsia" w:ascii="宋体" w:hAnsi="宋体" w:cs="宋体"/>
                <w:color w:val="000000"/>
                <w:kern w:val="0"/>
                <w:szCs w:val="21"/>
              </w:rPr>
              <w:t>1处</w:t>
            </w:r>
          </w:p>
        </w:tc>
        <w:tc>
          <w:tcPr>
            <w:tcW w:w="1559" w:type="dxa"/>
            <w:gridSpan w:val="2"/>
            <w:vAlign w:val="center"/>
          </w:tcPr>
          <w:p w14:paraId="5A18E51A">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r>
      <w:tr w14:paraId="56B6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2AA75EC">
            <w:pPr>
              <w:autoSpaceDE w:val="0"/>
              <w:autoSpaceDN w:val="0"/>
              <w:jc w:val="center"/>
              <w:rPr>
                <w:rFonts w:ascii="宋体" w:hAnsi="宋体" w:cs="宋体"/>
                <w:color w:val="000000"/>
                <w:kern w:val="0"/>
                <w:szCs w:val="21"/>
              </w:rPr>
            </w:pPr>
          </w:p>
        </w:tc>
        <w:tc>
          <w:tcPr>
            <w:tcW w:w="875" w:type="dxa"/>
            <w:gridSpan w:val="2"/>
            <w:vAlign w:val="center"/>
          </w:tcPr>
          <w:p w14:paraId="2D33F082">
            <w:pPr>
              <w:autoSpaceDE w:val="0"/>
              <w:autoSpaceDN w:val="0"/>
              <w:jc w:val="center"/>
              <w:rPr>
                <w:rFonts w:ascii="宋体" w:hAnsi="宋体"/>
                <w:color w:val="000000"/>
                <w:kern w:val="0"/>
                <w:szCs w:val="21"/>
              </w:rPr>
            </w:pPr>
            <w:r>
              <w:rPr>
                <w:rFonts w:hint="eastAsia" w:ascii="宋体" w:hAnsi="宋体"/>
                <w:color w:val="000000"/>
                <w:kern w:val="0"/>
                <w:szCs w:val="21"/>
              </w:rPr>
              <w:t>2</w:t>
            </w:r>
          </w:p>
        </w:tc>
        <w:tc>
          <w:tcPr>
            <w:tcW w:w="1807" w:type="dxa"/>
            <w:gridSpan w:val="3"/>
            <w:vAlign w:val="center"/>
          </w:tcPr>
          <w:p w14:paraId="3C502DB1">
            <w:pPr>
              <w:autoSpaceDE w:val="0"/>
              <w:autoSpaceDN w:val="0"/>
              <w:jc w:val="center"/>
              <w:rPr>
                <w:rFonts w:ascii="宋体" w:hAnsi="宋体" w:cs="宋体"/>
                <w:color w:val="000000"/>
                <w:kern w:val="0"/>
                <w:szCs w:val="21"/>
              </w:rPr>
            </w:pPr>
            <w:r>
              <w:rPr>
                <w:rFonts w:hint="eastAsia" w:ascii="宋体" w:hAnsi="宋体" w:cs="宋体"/>
                <w:color w:val="000000"/>
                <w:kern w:val="0"/>
                <w:szCs w:val="21"/>
              </w:rPr>
              <w:t>液位仪</w:t>
            </w:r>
          </w:p>
        </w:tc>
        <w:tc>
          <w:tcPr>
            <w:tcW w:w="1555" w:type="dxa"/>
            <w:gridSpan w:val="2"/>
            <w:vAlign w:val="center"/>
          </w:tcPr>
          <w:p w14:paraId="40F08840">
            <w:pPr>
              <w:autoSpaceDE w:val="0"/>
              <w:autoSpaceDN w:val="0"/>
              <w:jc w:val="center"/>
              <w:rPr>
                <w:rFonts w:ascii="宋体" w:hAnsi="宋体" w:cs="宋体"/>
                <w:color w:val="000000"/>
                <w:kern w:val="0"/>
                <w:szCs w:val="21"/>
              </w:rPr>
            </w:pPr>
          </w:p>
        </w:tc>
        <w:tc>
          <w:tcPr>
            <w:tcW w:w="953" w:type="dxa"/>
            <w:vAlign w:val="center"/>
          </w:tcPr>
          <w:p w14:paraId="4CB11E63">
            <w:pPr>
              <w:autoSpaceDE w:val="0"/>
              <w:autoSpaceDN w:val="0"/>
              <w:jc w:val="center"/>
              <w:rPr>
                <w:rFonts w:ascii="宋体" w:hAnsi="宋体" w:cs="宋体"/>
                <w:color w:val="000000"/>
                <w:kern w:val="0"/>
                <w:szCs w:val="21"/>
              </w:rPr>
            </w:pPr>
            <w:r>
              <w:rPr>
                <w:rFonts w:hint="eastAsia" w:ascii="宋体" w:hAnsi="宋体" w:cs="宋体"/>
                <w:color w:val="000000"/>
                <w:kern w:val="0"/>
                <w:szCs w:val="21"/>
              </w:rPr>
              <w:t>1个/罐</w:t>
            </w:r>
          </w:p>
        </w:tc>
        <w:tc>
          <w:tcPr>
            <w:tcW w:w="1559" w:type="dxa"/>
            <w:gridSpan w:val="2"/>
            <w:vAlign w:val="center"/>
          </w:tcPr>
          <w:p w14:paraId="2425C307">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r>
      <w:tr w14:paraId="020E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7C17846">
            <w:pPr>
              <w:autoSpaceDE w:val="0"/>
              <w:autoSpaceDN w:val="0"/>
              <w:jc w:val="center"/>
              <w:rPr>
                <w:rFonts w:ascii="宋体" w:hAnsi="宋体" w:cs="宋体"/>
                <w:color w:val="000000"/>
                <w:kern w:val="0"/>
                <w:szCs w:val="21"/>
              </w:rPr>
            </w:pPr>
          </w:p>
        </w:tc>
        <w:tc>
          <w:tcPr>
            <w:tcW w:w="875" w:type="dxa"/>
            <w:gridSpan w:val="2"/>
            <w:vAlign w:val="center"/>
          </w:tcPr>
          <w:p w14:paraId="7CD2BCE1">
            <w:pPr>
              <w:autoSpaceDE w:val="0"/>
              <w:autoSpaceDN w:val="0"/>
              <w:jc w:val="center"/>
              <w:rPr>
                <w:rFonts w:ascii="宋体" w:hAnsi="宋体"/>
                <w:color w:val="000000"/>
                <w:kern w:val="0"/>
                <w:szCs w:val="21"/>
              </w:rPr>
            </w:pPr>
            <w:r>
              <w:rPr>
                <w:rFonts w:hint="eastAsia" w:ascii="宋体" w:hAnsi="宋体"/>
                <w:color w:val="000000"/>
                <w:kern w:val="0"/>
                <w:szCs w:val="21"/>
              </w:rPr>
              <w:t>3</w:t>
            </w:r>
          </w:p>
        </w:tc>
        <w:tc>
          <w:tcPr>
            <w:tcW w:w="1807" w:type="dxa"/>
            <w:gridSpan w:val="3"/>
            <w:vAlign w:val="center"/>
          </w:tcPr>
          <w:p w14:paraId="5EDE4EB6">
            <w:pPr>
              <w:autoSpaceDE w:val="0"/>
              <w:autoSpaceDN w:val="0"/>
              <w:jc w:val="center"/>
              <w:rPr>
                <w:rFonts w:ascii="宋体" w:hAnsi="宋体" w:cs="宋体"/>
                <w:color w:val="000000"/>
                <w:kern w:val="0"/>
                <w:szCs w:val="21"/>
              </w:rPr>
            </w:pPr>
            <w:r>
              <w:rPr>
                <w:rFonts w:hint="eastAsia" w:ascii="宋体" w:hAnsi="宋体"/>
                <w:color w:val="000000"/>
                <w:kern w:val="0"/>
                <w:szCs w:val="21"/>
              </w:rPr>
              <w:t>阻火器（呼吸阀）</w:t>
            </w:r>
          </w:p>
        </w:tc>
        <w:tc>
          <w:tcPr>
            <w:tcW w:w="1555" w:type="dxa"/>
            <w:gridSpan w:val="2"/>
            <w:vAlign w:val="center"/>
          </w:tcPr>
          <w:p w14:paraId="23C13C33">
            <w:pPr>
              <w:autoSpaceDE w:val="0"/>
              <w:autoSpaceDN w:val="0"/>
              <w:jc w:val="center"/>
              <w:rPr>
                <w:rFonts w:ascii="宋体" w:hAnsi="宋体" w:cs="宋体"/>
                <w:color w:val="000000"/>
                <w:kern w:val="0"/>
                <w:szCs w:val="21"/>
              </w:rPr>
            </w:pPr>
          </w:p>
        </w:tc>
        <w:tc>
          <w:tcPr>
            <w:tcW w:w="953" w:type="dxa"/>
            <w:vAlign w:val="center"/>
          </w:tcPr>
          <w:p w14:paraId="44C51C26">
            <w:pPr>
              <w:autoSpaceDE w:val="0"/>
              <w:autoSpaceDN w:val="0"/>
              <w:jc w:val="center"/>
              <w:rPr>
                <w:rFonts w:ascii="宋体" w:hAnsi="宋体" w:cs="宋体"/>
                <w:color w:val="000000"/>
                <w:kern w:val="0"/>
                <w:szCs w:val="21"/>
              </w:rPr>
            </w:pPr>
            <w:r>
              <w:rPr>
                <w:rFonts w:hint="eastAsia" w:ascii="宋体" w:hAnsi="宋体" w:cs="宋体"/>
                <w:color w:val="000000"/>
                <w:kern w:val="0"/>
                <w:szCs w:val="21"/>
              </w:rPr>
              <w:t>1个/罐</w:t>
            </w:r>
          </w:p>
        </w:tc>
        <w:tc>
          <w:tcPr>
            <w:tcW w:w="1559" w:type="dxa"/>
            <w:gridSpan w:val="2"/>
            <w:vAlign w:val="center"/>
          </w:tcPr>
          <w:p w14:paraId="6DA47BEF">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r>
      <w:tr w14:paraId="5E95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5857360">
            <w:pPr>
              <w:autoSpaceDE w:val="0"/>
              <w:autoSpaceDN w:val="0"/>
              <w:jc w:val="center"/>
              <w:rPr>
                <w:rFonts w:ascii="宋体" w:hAnsi="宋体" w:cs="宋体"/>
                <w:color w:val="000000"/>
                <w:kern w:val="0"/>
                <w:szCs w:val="21"/>
              </w:rPr>
            </w:pPr>
          </w:p>
        </w:tc>
        <w:tc>
          <w:tcPr>
            <w:tcW w:w="875" w:type="dxa"/>
            <w:gridSpan w:val="2"/>
            <w:vAlign w:val="center"/>
          </w:tcPr>
          <w:p w14:paraId="0B1E5A13">
            <w:pPr>
              <w:autoSpaceDE w:val="0"/>
              <w:autoSpaceDN w:val="0"/>
              <w:jc w:val="center"/>
              <w:rPr>
                <w:rFonts w:ascii="宋体" w:hAnsi="宋体"/>
                <w:color w:val="000000"/>
                <w:kern w:val="0"/>
                <w:szCs w:val="21"/>
              </w:rPr>
            </w:pPr>
            <w:r>
              <w:rPr>
                <w:rFonts w:hint="eastAsia" w:ascii="宋体" w:hAnsi="宋体"/>
                <w:color w:val="000000"/>
                <w:kern w:val="0"/>
                <w:szCs w:val="21"/>
              </w:rPr>
              <w:t>4</w:t>
            </w:r>
          </w:p>
        </w:tc>
        <w:tc>
          <w:tcPr>
            <w:tcW w:w="1807" w:type="dxa"/>
            <w:gridSpan w:val="3"/>
            <w:vAlign w:val="center"/>
          </w:tcPr>
          <w:p w14:paraId="0640605E">
            <w:pPr>
              <w:autoSpaceDE w:val="0"/>
              <w:autoSpaceDN w:val="0"/>
              <w:jc w:val="center"/>
              <w:rPr>
                <w:rFonts w:ascii="宋体" w:hAnsi="宋体"/>
                <w:color w:val="000000"/>
                <w:kern w:val="0"/>
                <w:szCs w:val="21"/>
              </w:rPr>
            </w:pPr>
            <w:r>
              <w:rPr>
                <w:rFonts w:hint="eastAsia" w:ascii="宋体" w:hAnsi="宋体"/>
                <w:color w:val="000000"/>
                <w:kern w:val="0"/>
                <w:szCs w:val="21"/>
              </w:rPr>
              <w:t>通气管</w:t>
            </w:r>
          </w:p>
        </w:tc>
        <w:tc>
          <w:tcPr>
            <w:tcW w:w="1555" w:type="dxa"/>
            <w:gridSpan w:val="2"/>
            <w:vAlign w:val="center"/>
          </w:tcPr>
          <w:p w14:paraId="3786F177">
            <w:pPr>
              <w:autoSpaceDE w:val="0"/>
              <w:autoSpaceDN w:val="0"/>
              <w:jc w:val="center"/>
              <w:rPr>
                <w:rFonts w:ascii="宋体" w:hAnsi="宋体" w:cs="宋体"/>
                <w:color w:val="000000"/>
                <w:kern w:val="0"/>
                <w:szCs w:val="21"/>
              </w:rPr>
            </w:pPr>
          </w:p>
        </w:tc>
        <w:tc>
          <w:tcPr>
            <w:tcW w:w="953" w:type="dxa"/>
            <w:vAlign w:val="center"/>
          </w:tcPr>
          <w:p w14:paraId="278136CB">
            <w:pPr>
              <w:autoSpaceDE w:val="0"/>
              <w:autoSpaceDN w:val="0"/>
              <w:jc w:val="center"/>
              <w:rPr>
                <w:rFonts w:ascii="宋体" w:hAnsi="宋体" w:cs="宋体"/>
                <w:color w:val="000000"/>
                <w:kern w:val="0"/>
                <w:szCs w:val="21"/>
              </w:rPr>
            </w:pPr>
            <w:r>
              <w:rPr>
                <w:rFonts w:hint="eastAsia" w:ascii="宋体" w:hAnsi="宋体" w:cs="宋体"/>
                <w:color w:val="000000"/>
                <w:kern w:val="0"/>
                <w:szCs w:val="21"/>
              </w:rPr>
              <w:t>3跟</w:t>
            </w:r>
          </w:p>
        </w:tc>
        <w:tc>
          <w:tcPr>
            <w:tcW w:w="1559" w:type="dxa"/>
            <w:gridSpan w:val="2"/>
            <w:vAlign w:val="center"/>
          </w:tcPr>
          <w:p w14:paraId="36CADD40">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r>
      <w:tr w14:paraId="3535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36D2D635">
            <w:pPr>
              <w:autoSpaceDE w:val="0"/>
              <w:autoSpaceDN w:val="0"/>
              <w:jc w:val="left"/>
              <w:rPr>
                <w:rFonts w:ascii="宋体" w:hAnsi="宋体"/>
                <w:b/>
                <w:color w:val="000000"/>
                <w:kern w:val="0"/>
                <w:szCs w:val="21"/>
              </w:rPr>
            </w:pPr>
            <w:r>
              <w:rPr>
                <w:rFonts w:hint="eastAsia" w:ascii="宋体" w:hAnsi="宋体" w:cs="宋体"/>
                <w:b/>
                <w:color w:val="000000"/>
                <w:kern w:val="0"/>
                <w:szCs w:val="21"/>
              </w:rPr>
              <w:t>主要消防设施，工、器具配置</w:t>
            </w:r>
          </w:p>
        </w:tc>
        <w:tc>
          <w:tcPr>
            <w:tcW w:w="1948" w:type="dxa"/>
            <w:gridSpan w:val="3"/>
            <w:vAlign w:val="center"/>
          </w:tcPr>
          <w:p w14:paraId="2579198F">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名称</w:t>
            </w:r>
          </w:p>
        </w:tc>
        <w:tc>
          <w:tcPr>
            <w:tcW w:w="1296" w:type="dxa"/>
            <w:gridSpan w:val="3"/>
            <w:vAlign w:val="center"/>
          </w:tcPr>
          <w:p w14:paraId="738A7AC5">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型号、规格</w:t>
            </w:r>
          </w:p>
        </w:tc>
        <w:tc>
          <w:tcPr>
            <w:tcW w:w="993" w:type="dxa"/>
            <w:vAlign w:val="center"/>
          </w:tcPr>
          <w:p w14:paraId="2F5395F2">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数量</w:t>
            </w:r>
          </w:p>
        </w:tc>
        <w:tc>
          <w:tcPr>
            <w:tcW w:w="953" w:type="dxa"/>
            <w:vAlign w:val="center"/>
          </w:tcPr>
          <w:p w14:paraId="7763ADCC">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状况</w:t>
            </w:r>
          </w:p>
        </w:tc>
        <w:tc>
          <w:tcPr>
            <w:tcW w:w="1559" w:type="dxa"/>
            <w:gridSpan w:val="2"/>
            <w:vAlign w:val="center"/>
          </w:tcPr>
          <w:p w14:paraId="77CE66A8">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备注</w:t>
            </w:r>
          </w:p>
        </w:tc>
      </w:tr>
      <w:tr w14:paraId="059E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19FCFD2">
            <w:pPr>
              <w:autoSpaceDE w:val="0"/>
              <w:autoSpaceDN w:val="0"/>
              <w:jc w:val="center"/>
              <w:rPr>
                <w:rFonts w:ascii="宋体" w:hAnsi="宋体"/>
                <w:color w:val="000000"/>
                <w:kern w:val="0"/>
                <w:szCs w:val="21"/>
              </w:rPr>
            </w:pPr>
          </w:p>
        </w:tc>
        <w:tc>
          <w:tcPr>
            <w:tcW w:w="1948" w:type="dxa"/>
            <w:gridSpan w:val="3"/>
            <w:vAlign w:val="center"/>
          </w:tcPr>
          <w:p w14:paraId="39C0B3CD">
            <w:pPr>
              <w:autoSpaceDE w:val="0"/>
              <w:autoSpaceDN w:val="0"/>
              <w:jc w:val="center"/>
              <w:rPr>
                <w:rFonts w:ascii="宋体" w:hAnsi="宋体" w:cs="宋体"/>
                <w:color w:val="000000"/>
                <w:kern w:val="0"/>
                <w:szCs w:val="21"/>
              </w:rPr>
            </w:pPr>
            <w:r>
              <w:rPr>
                <w:rFonts w:hint="eastAsia" w:ascii="宋体" w:hAnsi="宋体" w:cs="宋体"/>
                <w:color w:val="000000"/>
                <w:kern w:val="0"/>
                <w:szCs w:val="21"/>
              </w:rPr>
              <w:t>干粉灭火器</w:t>
            </w:r>
          </w:p>
        </w:tc>
        <w:tc>
          <w:tcPr>
            <w:tcW w:w="1296" w:type="dxa"/>
            <w:gridSpan w:val="3"/>
            <w:vAlign w:val="center"/>
          </w:tcPr>
          <w:p w14:paraId="19DFCBD8">
            <w:pPr>
              <w:autoSpaceDE w:val="0"/>
              <w:autoSpaceDN w:val="0"/>
              <w:jc w:val="center"/>
              <w:rPr>
                <w:rFonts w:ascii="宋体" w:hAnsi="宋体" w:cs="宋体"/>
                <w:color w:val="000000"/>
                <w:kern w:val="0"/>
                <w:szCs w:val="21"/>
              </w:rPr>
            </w:pPr>
            <w:r>
              <w:rPr>
                <w:rFonts w:ascii="宋体" w:hAnsi="宋体" w:cs="宋体"/>
                <w:color w:val="000000"/>
                <w:kern w:val="0"/>
                <w:szCs w:val="21"/>
              </w:rPr>
              <w:t>MFZL-4</w:t>
            </w:r>
          </w:p>
        </w:tc>
        <w:tc>
          <w:tcPr>
            <w:tcW w:w="993" w:type="dxa"/>
            <w:vAlign w:val="center"/>
          </w:tcPr>
          <w:p w14:paraId="42AD87A6">
            <w:pPr>
              <w:autoSpaceDE w:val="0"/>
              <w:autoSpaceDN w:val="0"/>
              <w:jc w:val="center"/>
              <w:rPr>
                <w:rFonts w:ascii="宋体" w:hAnsi="宋体" w:cs="宋体"/>
                <w:color w:val="000000"/>
                <w:kern w:val="0"/>
                <w:szCs w:val="21"/>
              </w:rPr>
            </w:pPr>
            <w:r>
              <w:rPr>
                <w:rFonts w:hint="eastAsia" w:ascii="宋体" w:hAnsi="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cs="宋体"/>
                <w:color w:val="000000"/>
                <w:kern w:val="0"/>
                <w:szCs w:val="21"/>
              </w:rPr>
              <w:t>只</w:t>
            </w:r>
          </w:p>
        </w:tc>
        <w:tc>
          <w:tcPr>
            <w:tcW w:w="953" w:type="dxa"/>
            <w:vAlign w:val="center"/>
          </w:tcPr>
          <w:p w14:paraId="12938F8A">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c>
          <w:tcPr>
            <w:tcW w:w="1559" w:type="dxa"/>
            <w:gridSpan w:val="2"/>
            <w:vAlign w:val="center"/>
          </w:tcPr>
          <w:p w14:paraId="3847DCF0">
            <w:pPr>
              <w:autoSpaceDE w:val="0"/>
              <w:autoSpaceDN w:val="0"/>
              <w:rPr>
                <w:rFonts w:ascii="宋体" w:hAnsi="宋体" w:cs="宋体"/>
                <w:color w:val="000000"/>
                <w:kern w:val="0"/>
                <w:szCs w:val="21"/>
              </w:rPr>
            </w:pPr>
            <w:r>
              <w:rPr>
                <w:rFonts w:hint="eastAsia" w:ascii="宋体" w:hAnsi="宋体" w:cs="宋体"/>
                <w:color w:val="000000"/>
                <w:kern w:val="0"/>
                <w:szCs w:val="21"/>
              </w:rPr>
              <w:t>加油机一侧8只，油罐区、值班室、营业室、员工厨房</w:t>
            </w:r>
            <w:r>
              <w:rPr>
                <w:rFonts w:hint="eastAsia" w:ascii="宋体" w:hAnsi="宋体" w:cs="宋体"/>
                <w:color w:val="000000"/>
                <w:kern w:val="0"/>
                <w:szCs w:val="21"/>
                <w:lang w:val="en-US" w:eastAsia="zh-CN"/>
              </w:rPr>
              <w:t>4</w:t>
            </w:r>
            <w:r>
              <w:rPr>
                <w:rFonts w:hint="eastAsia" w:ascii="宋体" w:hAnsi="宋体" w:cs="宋体"/>
                <w:color w:val="000000"/>
                <w:kern w:val="0"/>
                <w:szCs w:val="21"/>
              </w:rPr>
              <w:t>只。</w:t>
            </w:r>
          </w:p>
        </w:tc>
      </w:tr>
      <w:tr w14:paraId="3B48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0D6C844E">
            <w:pPr>
              <w:autoSpaceDE w:val="0"/>
              <w:autoSpaceDN w:val="0"/>
              <w:jc w:val="center"/>
              <w:rPr>
                <w:rFonts w:ascii="宋体" w:hAnsi="宋体"/>
                <w:color w:val="000000"/>
                <w:kern w:val="0"/>
                <w:szCs w:val="21"/>
              </w:rPr>
            </w:pPr>
          </w:p>
        </w:tc>
        <w:tc>
          <w:tcPr>
            <w:tcW w:w="1948" w:type="dxa"/>
            <w:gridSpan w:val="3"/>
            <w:vAlign w:val="center"/>
          </w:tcPr>
          <w:p w14:paraId="35915199">
            <w:pPr>
              <w:autoSpaceDE w:val="0"/>
              <w:autoSpaceDN w:val="0"/>
              <w:jc w:val="center"/>
              <w:rPr>
                <w:rFonts w:ascii="宋体" w:hAnsi="宋体" w:cs="宋体"/>
                <w:color w:val="000000"/>
                <w:kern w:val="0"/>
                <w:szCs w:val="21"/>
              </w:rPr>
            </w:pPr>
            <w:r>
              <w:rPr>
                <w:rFonts w:hint="eastAsia" w:ascii="宋体" w:hAnsi="宋体" w:cs="宋体"/>
                <w:color w:val="000000"/>
                <w:kern w:val="0"/>
                <w:szCs w:val="21"/>
              </w:rPr>
              <w:t>泡沫灭火器</w:t>
            </w:r>
          </w:p>
        </w:tc>
        <w:tc>
          <w:tcPr>
            <w:tcW w:w="1296" w:type="dxa"/>
            <w:gridSpan w:val="3"/>
            <w:vAlign w:val="center"/>
          </w:tcPr>
          <w:p w14:paraId="4E4837B0">
            <w:pPr>
              <w:autoSpaceDE w:val="0"/>
              <w:autoSpaceDN w:val="0"/>
              <w:jc w:val="center"/>
              <w:rPr>
                <w:rFonts w:ascii="宋体" w:hAnsi="宋体" w:cs="宋体"/>
                <w:color w:val="000000"/>
                <w:kern w:val="0"/>
                <w:szCs w:val="21"/>
              </w:rPr>
            </w:pPr>
            <w:r>
              <w:rPr>
                <w:rFonts w:ascii="宋体" w:hAnsi="宋体" w:cs="宋体"/>
                <w:color w:val="000000"/>
                <w:kern w:val="0"/>
                <w:szCs w:val="21"/>
              </w:rPr>
              <w:t>MTX-5</w:t>
            </w:r>
          </w:p>
        </w:tc>
        <w:tc>
          <w:tcPr>
            <w:tcW w:w="993" w:type="dxa"/>
            <w:vAlign w:val="center"/>
          </w:tcPr>
          <w:p w14:paraId="759DCDAE">
            <w:pPr>
              <w:autoSpaceDE w:val="0"/>
              <w:autoSpaceDN w:val="0"/>
              <w:jc w:val="center"/>
              <w:rPr>
                <w:rFonts w:ascii="宋体" w:hAnsi="宋体" w:cs="宋体"/>
                <w:color w:val="000000"/>
                <w:kern w:val="0"/>
                <w:szCs w:val="21"/>
              </w:rPr>
            </w:pPr>
            <w:r>
              <w:rPr>
                <w:rFonts w:hint="eastAsia" w:ascii="宋体" w:hAnsi="宋体" w:cs="宋体"/>
                <w:color w:val="000000"/>
                <w:kern w:val="0"/>
                <w:szCs w:val="21"/>
              </w:rPr>
              <w:t>4只</w:t>
            </w:r>
          </w:p>
        </w:tc>
        <w:tc>
          <w:tcPr>
            <w:tcW w:w="953" w:type="dxa"/>
            <w:vAlign w:val="center"/>
          </w:tcPr>
          <w:p w14:paraId="3485F4B7">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c>
          <w:tcPr>
            <w:tcW w:w="1559" w:type="dxa"/>
            <w:gridSpan w:val="2"/>
            <w:vAlign w:val="center"/>
          </w:tcPr>
          <w:p w14:paraId="7EB6BF3D">
            <w:pPr>
              <w:autoSpaceDE w:val="0"/>
              <w:autoSpaceDN w:val="0"/>
              <w:rPr>
                <w:rFonts w:ascii="宋体" w:hAnsi="宋体" w:cs="宋体"/>
                <w:color w:val="000000"/>
                <w:kern w:val="0"/>
                <w:szCs w:val="21"/>
              </w:rPr>
            </w:pPr>
            <w:r>
              <w:rPr>
                <w:rFonts w:hint="eastAsia" w:ascii="宋体" w:hAnsi="宋体" w:cs="宋体"/>
                <w:color w:val="000000"/>
                <w:kern w:val="0"/>
                <w:szCs w:val="21"/>
              </w:rPr>
              <w:t>办公室、营业室各2只。</w:t>
            </w:r>
          </w:p>
        </w:tc>
      </w:tr>
      <w:tr w14:paraId="7DDE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C3498BF">
            <w:pPr>
              <w:autoSpaceDE w:val="0"/>
              <w:autoSpaceDN w:val="0"/>
              <w:jc w:val="center"/>
              <w:rPr>
                <w:rFonts w:ascii="宋体" w:hAnsi="宋体"/>
                <w:color w:val="000000"/>
                <w:kern w:val="0"/>
                <w:szCs w:val="21"/>
              </w:rPr>
            </w:pPr>
          </w:p>
        </w:tc>
        <w:tc>
          <w:tcPr>
            <w:tcW w:w="1948" w:type="dxa"/>
            <w:gridSpan w:val="3"/>
            <w:vAlign w:val="center"/>
          </w:tcPr>
          <w:p w14:paraId="0CF6A577">
            <w:pPr>
              <w:autoSpaceDE w:val="0"/>
              <w:autoSpaceDN w:val="0"/>
              <w:jc w:val="center"/>
              <w:rPr>
                <w:rFonts w:ascii="宋体" w:hAnsi="宋体" w:cs="宋体"/>
                <w:color w:val="000000"/>
                <w:kern w:val="0"/>
                <w:szCs w:val="21"/>
              </w:rPr>
            </w:pPr>
            <w:r>
              <w:rPr>
                <w:rFonts w:hint="eastAsia" w:ascii="宋体" w:hAnsi="宋体" w:cs="宋体"/>
                <w:color w:val="000000"/>
                <w:kern w:val="0"/>
                <w:szCs w:val="21"/>
              </w:rPr>
              <w:t>推车式干粉灭火器</w:t>
            </w:r>
          </w:p>
        </w:tc>
        <w:tc>
          <w:tcPr>
            <w:tcW w:w="1296" w:type="dxa"/>
            <w:gridSpan w:val="3"/>
            <w:vAlign w:val="center"/>
          </w:tcPr>
          <w:p w14:paraId="0C7FD07D">
            <w:pPr>
              <w:autoSpaceDE w:val="0"/>
              <w:autoSpaceDN w:val="0"/>
              <w:jc w:val="center"/>
              <w:rPr>
                <w:rFonts w:ascii="宋体" w:hAnsi="宋体" w:cs="宋体"/>
                <w:color w:val="000000"/>
                <w:kern w:val="0"/>
                <w:szCs w:val="21"/>
              </w:rPr>
            </w:pPr>
            <w:r>
              <w:rPr>
                <w:rFonts w:ascii="宋体" w:hAnsi="宋体" w:cs="宋体"/>
                <w:color w:val="000000"/>
                <w:kern w:val="0"/>
                <w:szCs w:val="21"/>
              </w:rPr>
              <w:t>MF</w:t>
            </w:r>
            <w:r>
              <w:rPr>
                <w:rFonts w:hint="eastAsia" w:ascii="宋体" w:hAnsi="宋体" w:cs="宋体"/>
                <w:color w:val="000000"/>
                <w:kern w:val="0"/>
                <w:szCs w:val="21"/>
              </w:rPr>
              <w:t>TL</w:t>
            </w:r>
            <w:r>
              <w:rPr>
                <w:rFonts w:ascii="宋体" w:hAnsi="宋体" w:cs="宋体"/>
                <w:color w:val="000000"/>
                <w:kern w:val="0"/>
                <w:szCs w:val="21"/>
              </w:rPr>
              <w:t xml:space="preserve"> 3</w:t>
            </w:r>
            <w:r>
              <w:rPr>
                <w:rFonts w:hint="eastAsia" w:ascii="宋体" w:hAnsi="宋体" w:cs="宋体"/>
                <w:color w:val="000000"/>
                <w:kern w:val="0"/>
                <w:szCs w:val="21"/>
              </w:rPr>
              <w:t>5kg</w:t>
            </w:r>
          </w:p>
        </w:tc>
        <w:tc>
          <w:tcPr>
            <w:tcW w:w="993" w:type="dxa"/>
            <w:vAlign w:val="center"/>
          </w:tcPr>
          <w:p w14:paraId="2D9948AB">
            <w:pPr>
              <w:autoSpaceDE w:val="0"/>
              <w:autoSpaceDN w:val="0"/>
              <w:jc w:val="center"/>
              <w:rPr>
                <w:rFonts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个</w:t>
            </w:r>
          </w:p>
        </w:tc>
        <w:tc>
          <w:tcPr>
            <w:tcW w:w="953" w:type="dxa"/>
            <w:vAlign w:val="center"/>
          </w:tcPr>
          <w:p w14:paraId="27DE9E92">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c>
          <w:tcPr>
            <w:tcW w:w="1559" w:type="dxa"/>
            <w:gridSpan w:val="2"/>
          </w:tcPr>
          <w:p w14:paraId="396C625D">
            <w:pPr>
              <w:rPr>
                <w:rFonts w:ascii="宋体" w:hAnsi="宋体"/>
                <w:color w:val="000000"/>
              </w:rPr>
            </w:pPr>
            <w:r>
              <w:rPr>
                <w:rFonts w:hint="eastAsia" w:ascii="宋体" w:hAnsi="宋体" w:cs="宋体"/>
                <w:color w:val="000000"/>
                <w:kern w:val="0"/>
                <w:szCs w:val="21"/>
              </w:rPr>
              <w:t>油罐区、加油区</w:t>
            </w:r>
          </w:p>
        </w:tc>
      </w:tr>
      <w:tr w14:paraId="7F7C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0E427D4">
            <w:pPr>
              <w:autoSpaceDE w:val="0"/>
              <w:autoSpaceDN w:val="0"/>
              <w:jc w:val="center"/>
              <w:rPr>
                <w:rFonts w:ascii="宋体" w:hAnsi="宋体"/>
                <w:color w:val="000000"/>
                <w:kern w:val="0"/>
                <w:szCs w:val="21"/>
              </w:rPr>
            </w:pPr>
          </w:p>
        </w:tc>
        <w:tc>
          <w:tcPr>
            <w:tcW w:w="1948" w:type="dxa"/>
            <w:gridSpan w:val="3"/>
            <w:vAlign w:val="center"/>
          </w:tcPr>
          <w:p w14:paraId="512CA21B">
            <w:pPr>
              <w:autoSpaceDE w:val="0"/>
              <w:autoSpaceDN w:val="0"/>
              <w:jc w:val="center"/>
              <w:rPr>
                <w:rFonts w:ascii="宋体" w:hAnsi="宋体" w:cs="宋体"/>
                <w:color w:val="000000"/>
                <w:kern w:val="0"/>
                <w:szCs w:val="21"/>
              </w:rPr>
            </w:pPr>
            <w:r>
              <w:rPr>
                <w:rFonts w:hint="eastAsia" w:ascii="宋体" w:hAnsi="宋体" w:cs="宋体"/>
                <w:color w:val="000000"/>
                <w:kern w:val="0"/>
                <w:szCs w:val="21"/>
              </w:rPr>
              <w:t>灭火毯</w:t>
            </w:r>
          </w:p>
        </w:tc>
        <w:tc>
          <w:tcPr>
            <w:tcW w:w="1296" w:type="dxa"/>
            <w:gridSpan w:val="3"/>
            <w:vAlign w:val="center"/>
          </w:tcPr>
          <w:p w14:paraId="0346F0B6">
            <w:pPr>
              <w:autoSpaceDE w:val="0"/>
              <w:autoSpaceDN w:val="0"/>
              <w:jc w:val="center"/>
              <w:rPr>
                <w:rFonts w:ascii="宋体" w:hAnsi="宋体" w:cs="宋体"/>
                <w:color w:val="000000"/>
                <w:kern w:val="0"/>
                <w:szCs w:val="21"/>
              </w:rPr>
            </w:pPr>
            <w:r>
              <w:rPr>
                <w:rFonts w:ascii="宋体" w:hAnsi="宋体" w:cs="宋体"/>
                <w:color w:val="000000"/>
                <w:kern w:val="0"/>
                <w:szCs w:val="21"/>
              </w:rPr>
              <w:t>1*1.5M</w:t>
            </w:r>
            <w:r>
              <w:rPr>
                <w:rFonts w:hint="eastAsia" w:ascii="宋体" w:hAnsi="宋体" w:cs="宋体"/>
                <w:color w:val="000000"/>
                <w:kern w:val="0"/>
                <w:szCs w:val="21"/>
              </w:rPr>
              <w:t>石棉</w:t>
            </w:r>
          </w:p>
        </w:tc>
        <w:tc>
          <w:tcPr>
            <w:tcW w:w="993" w:type="dxa"/>
            <w:vAlign w:val="center"/>
          </w:tcPr>
          <w:p w14:paraId="56F2F9EF">
            <w:pPr>
              <w:autoSpaceDE w:val="0"/>
              <w:autoSpaceDN w:val="0"/>
              <w:jc w:val="center"/>
              <w:rPr>
                <w:rFonts w:ascii="宋体" w:hAnsi="宋体" w:cs="宋体"/>
                <w:color w:val="000000"/>
                <w:kern w:val="0"/>
                <w:szCs w:val="21"/>
              </w:rPr>
            </w:pPr>
            <w:r>
              <w:rPr>
                <w:rFonts w:hint="eastAsia" w:ascii="宋体" w:hAnsi="宋体" w:cs="宋体"/>
                <w:color w:val="000000"/>
                <w:kern w:val="0"/>
                <w:szCs w:val="21"/>
              </w:rPr>
              <w:t>6床</w:t>
            </w:r>
          </w:p>
        </w:tc>
        <w:tc>
          <w:tcPr>
            <w:tcW w:w="953" w:type="dxa"/>
            <w:vAlign w:val="center"/>
          </w:tcPr>
          <w:p w14:paraId="739D25FB">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c>
          <w:tcPr>
            <w:tcW w:w="1559" w:type="dxa"/>
            <w:gridSpan w:val="2"/>
          </w:tcPr>
          <w:p w14:paraId="4A3E115A">
            <w:pPr>
              <w:rPr>
                <w:rFonts w:ascii="宋体" w:hAnsi="宋体"/>
                <w:color w:val="000000"/>
              </w:rPr>
            </w:pPr>
            <w:r>
              <w:rPr>
                <w:rFonts w:hint="eastAsia" w:ascii="宋体" w:hAnsi="宋体" w:cs="宋体"/>
                <w:color w:val="000000"/>
                <w:kern w:val="0"/>
                <w:szCs w:val="21"/>
              </w:rPr>
              <w:t>加油区4床及油罐区2床</w:t>
            </w:r>
          </w:p>
        </w:tc>
      </w:tr>
      <w:tr w14:paraId="1340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8543F36">
            <w:pPr>
              <w:autoSpaceDE w:val="0"/>
              <w:autoSpaceDN w:val="0"/>
              <w:jc w:val="center"/>
              <w:rPr>
                <w:rFonts w:ascii="宋体" w:hAnsi="宋体"/>
                <w:color w:val="000000"/>
                <w:kern w:val="0"/>
                <w:szCs w:val="21"/>
              </w:rPr>
            </w:pPr>
          </w:p>
        </w:tc>
        <w:tc>
          <w:tcPr>
            <w:tcW w:w="1948" w:type="dxa"/>
            <w:gridSpan w:val="3"/>
            <w:vAlign w:val="center"/>
          </w:tcPr>
          <w:p w14:paraId="48117EC5">
            <w:pPr>
              <w:autoSpaceDE w:val="0"/>
              <w:autoSpaceDN w:val="0"/>
              <w:jc w:val="center"/>
              <w:rPr>
                <w:rFonts w:ascii="宋体" w:hAnsi="宋体" w:cs="宋体"/>
                <w:color w:val="000000"/>
                <w:kern w:val="0"/>
                <w:szCs w:val="21"/>
              </w:rPr>
            </w:pPr>
            <w:r>
              <w:rPr>
                <w:rFonts w:hint="eastAsia" w:ascii="宋体" w:hAnsi="宋体" w:cs="宋体"/>
                <w:color w:val="000000"/>
                <w:kern w:val="0"/>
                <w:szCs w:val="21"/>
              </w:rPr>
              <w:t>消防砂池</w:t>
            </w:r>
          </w:p>
        </w:tc>
        <w:tc>
          <w:tcPr>
            <w:tcW w:w="1296" w:type="dxa"/>
            <w:gridSpan w:val="3"/>
            <w:vAlign w:val="center"/>
          </w:tcPr>
          <w:p w14:paraId="204F7E45">
            <w:pPr>
              <w:autoSpaceDE w:val="0"/>
              <w:autoSpaceDN w:val="0"/>
              <w:jc w:val="center"/>
              <w:rPr>
                <w:rFonts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m</w:t>
            </w:r>
            <w:r>
              <w:rPr>
                <w:rFonts w:hint="eastAsia" w:ascii="宋体" w:hAnsi="宋体" w:cs="宋体"/>
                <w:color w:val="000000"/>
                <w:kern w:val="0"/>
                <w:szCs w:val="21"/>
                <w:vertAlign w:val="superscript"/>
              </w:rPr>
              <w:t>3</w:t>
            </w:r>
          </w:p>
        </w:tc>
        <w:tc>
          <w:tcPr>
            <w:tcW w:w="993" w:type="dxa"/>
            <w:vAlign w:val="center"/>
          </w:tcPr>
          <w:p w14:paraId="6B422E68">
            <w:pPr>
              <w:autoSpaceDE w:val="0"/>
              <w:autoSpaceDN w:val="0"/>
              <w:jc w:val="center"/>
              <w:rPr>
                <w:rFonts w:ascii="宋体" w:hAnsi="宋体" w:cs="宋体"/>
                <w:color w:val="000000"/>
                <w:kern w:val="0"/>
                <w:szCs w:val="21"/>
              </w:rPr>
            </w:pPr>
            <w:r>
              <w:rPr>
                <w:rFonts w:hint="eastAsia" w:ascii="宋体" w:hAnsi="宋体" w:cs="宋体"/>
                <w:color w:val="000000"/>
                <w:kern w:val="0"/>
                <w:szCs w:val="21"/>
              </w:rPr>
              <w:t>1座</w:t>
            </w:r>
          </w:p>
        </w:tc>
        <w:tc>
          <w:tcPr>
            <w:tcW w:w="953" w:type="dxa"/>
            <w:vAlign w:val="center"/>
          </w:tcPr>
          <w:p w14:paraId="71D14B49">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c>
          <w:tcPr>
            <w:tcW w:w="1559" w:type="dxa"/>
            <w:gridSpan w:val="2"/>
          </w:tcPr>
          <w:p w14:paraId="5E5E476B">
            <w:pPr>
              <w:rPr>
                <w:rFonts w:ascii="宋体" w:hAnsi="宋体"/>
                <w:color w:val="000000"/>
              </w:rPr>
            </w:pPr>
            <w:r>
              <w:rPr>
                <w:rFonts w:hint="eastAsia" w:ascii="宋体" w:hAnsi="宋体" w:cs="宋体"/>
                <w:color w:val="000000"/>
                <w:kern w:val="0"/>
                <w:szCs w:val="21"/>
              </w:rPr>
              <w:t>油罐区</w:t>
            </w:r>
          </w:p>
        </w:tc>
      </w:tr>
      <w:tr w14:paraId="2E29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188B70EA">
            <w:pPr>
              <w:autoSpaceDE w:val="0"/>
              <w:autoSpaceDN w:val="0"/>
              <w:jc w:val="center"/>
              <w:rPr>
                <w:rFonts w:ascii="宋体" w:hAnsi="宋体"/>
                <w:color w:val="000000"/>
                <w:kern w:val="0"/>
                <w:szCs w:val="21"/>
              </w:rPr>
            </w:pPr>
          </w:p>
        </w:tc>
        <w:tc>
          <w:tcPr>
            <w:tcW w:w="1948" w:type="dxa"/>
            <w:gridSpan w:val="3"/>
            <w:vAlign w:val="center"/>
          </w:tcPr>
          <w:p w14:paraId="2CDAFFE7">
            <w:pPr>
              <w:autoSpaceDE w:val="0"/>
              <w:autoSpaceDN w:val="0"/>
              <w:jc w:val="center"/>
              <w:rPr>
                <w:rFonts w:ascii="宋体" w:hAnsi="宋体" w:cs="宋体"/>
                <w:color w:val="000000"/>
                <w:kern w:val="0"/>
                <w:szCs w:val="21"/>
              </w:rPr>
            </w:pPr>
            <w:r>
              <w:rPr>
                <w:rFonts w:hint="eastAsia" w:ascii="宋体" w:hAnsi="宋体" w:cs="宋体"/>
                <w:color w:val="000000"/>
                <w:kern w:val="0"/>
                <w:szCs w:val="21"/>
              </w:rPr>
              <w:t>消防铲</w:t>
            </w:r>
          </w:p>
        </w:tc>
        <w:tc>
          <w:tcPr>
            <w:tcW w:w="1296" w:type="dxa"/>
            <w:gridSpan w:val="3"/>
            <w:vAlign w:val="center"/>
          </w:tcPr>
          <w:p w14:paraId="16F25F17">
            <w:pPr>
              <w:autoSpaceDE w:val="0"/>
              <w:autoSpaceDN w:val="0"/>
              <w:jc w:val="center"/>
              <w:rPr>
                <w:rFonts w:ascii="宋体" w:hAnsi="宋体" w:cs="宋体"/>
                <w:color w:val="000000"/>
                <w:kern w:val="0"/>
                <w:szCs w:val="21"/>
              </w:rPr>
            </w:pPr>
          </w:p>
        </w:tc>
        <w:tc>
          <w:tcPr>
            <w:tcW w:w="993" w:type="dxa"/>
            <w:vAlign w:val="center"/>
          </w:tcPr>
          <w:p w14:paraId="3F31AB91">
            <w:pPr>
              <w:autoSpaceDE w:val="0"/>
              <w:autoSpaceDN w:val="0"/>
              <w:jc w:val="center"/>
              <w:rPr>
                <w:rFonts w:ascii="宋体" w:hAnsi="宋体" w:cs="宋体"/>
                <w:color w:val="000000"/>
                <w:kern w:val="0"/>
                <w:szCs w:val="21"/>
              </w:rPr>
            </w:pPr>
            <w:r>
              <w:rPr>
                <w:rFonts w:ascii="宋体" w:hAnsi="宋体" w:cs="宋体"/>
                <w:color w:val="000000"/>
                <w:kern w:val="0"/>
                <w:szCs w:val="21"/>
              </w:rPr>
              <w:t>5</w:t>
            </w:r>
            <w:r>
              <w:rPr>
                <w:rFonts w:hint="eastAsia" w:ascii="宋体" w:hAnsi="宋体" w:cs="宋体"/>
                <w:color w:val="000000"/>
                <w:kern w:val="0"/>
                <w:szCs w:val="21"/>
              </w:rPr>
              <w:t>把</w:t>
            </w:r>
          </w:p>
        </w:tc>
        <w:tc>
          <w:tcPr>
            <w:tcW w:w="953" w:type="dxa"/>
            <w:vAlign w:val="center"/>
          </w:tcPr>
          <w:p w14:paraId="325476A0">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c>
          <w:tcPr>
            <w:tcW w:w="1559" w:type="dxa"/>
            <w:gridSpan w:val="2"/>
          </w:tcPr>
          <w:p w14:paraId="1B862972">
            <w:pPr>
              <w:rPr>
                <w:rFonts w:ascii="宋体" w:hAnsi="宋体"/>
                <w:color w:val="000000"/>
              </w:rPr>
            </w:pPr>
            <w:r>
              <w:rPr>
                <w:rFonts w:hint="eastAsia" w:ascii="宋体" w:hAnsi="宋体" w:cs="宋体"/>
                <w:color w:val="000000"/>
                <w:kern w:val="0"/>
                <w:szCs w:val="21"/>
              </w:rPr>
              <w:t>油罐区</w:t>
            </w:r>
          </w:p>
        </w:tc>
      </w:tr>
      <w:tr w14:paraId="214E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09BD245B">
            <w:pPr>
              <w:autoSpaceDE w:val="0"/>
              <w:autoSpaceDN w:val="0"/>
              <w:jc w:val="center"/>
              <w:rPr>
                <w:rFonts w:ascii="宋体" w:hAnsi="宋体" w:cs="宋体"/>
                <w:color w:val="000000"/>
                <w:kern w:val="0"/>
                <w:szCs w:val="21"/>
              </w:rPr>
            </w:pPr>
          </w:p>
        </w:tc>
        <w:tc>
          <w:tcPr>
            <w:tcW w:w="1948" w:type="dxa"/>
            <w:gridSpan w:val="3"/>
            <w:vAlign w:val="center"/>
          </w:tcPr>
          <w:p w14:paraId="05704DE6">
            <w:pPr>
              <w:autoSpaceDE w:val="0"/>
              <w:autoSpaceDN w:val="0"/>
              <w:jc w:val="center"/>
              <w:rPr>
                <w:rFonts w:ascii="宋体" w:hAnsi="宋体" w:cs="宋体"/>
                <w:color w:val="000000"/>
                <w:kern w:val="0"/>
                <w:szCs w:val="21"/>
              </w:rPr>
            </w:pPr>
            <w:r>
              <w:rPr>
                <w:rFonts w:hint="eastAsia" w:ascii="宋体" w:hAnsi="宋体" w:cs="宋体"/>
                <w:color w:val="000000"/>
                <w:kern w:val="0"/>
                <w:szCs w:val="21"/>
              </w:rPr>
              <w:t>消防桶</w:t>
            </w:r>
          </w:p>
        </w:tc>
        <w:tc>
          <w:tcPr>
            <w:tcW w:w="1296" w:type="dxa"/>
            <w:gridSpan w:val="3"/>
            <w:vAlign w:val="center"/>
          </w:tcPr>
          <w:p w14:paraId="6C40083C">
            <w:pPr>
              <w:autoSpaceDE w:val="0"/>
              <w:autoSpaceDN w:val="0"/>
              <w:jc w:val="center"/>
              <w:rPr>
                <w:rFonts w:ascii="宋体" w:hAnsi="宋体" w:cs="宋体"/>
                <w:color w:val="000000"/>
                <w:kern w:val="0"/>
                <w:szCs w:val="21"/>
              </w:rPr>
            </w:pPr>
          </w:p>
        </w:tc>
        <w:tc>
          <w:tcPr>
            <w:tcW w:w="993" w:type="dxa"/>
            <w:vAlign w:val="center"/>
          </w:tcPr>
          <w:p w14:paraId="72D9929C">
            <w:pPr>
              <w:autoSpaceDE w:val="0"/>
              <w:autoSpaceDN w:val="0"/>
              <w:jc w:val="center"/>
              <w:rPr>
                <w:rFonts w:ascii="宋体" w:hAnsi="宋体" w:cs="宋体"/>
                <w:color w:val="000000"/>
                <w:kern w:val="0"/>
                <w:szCs w:val="21"/>
              </w:rPr>
            </w:pPr>
            <w:r>
              <w:rPr>
                <w:rFonts w:ascii="宋体" w:hAnsi="宋体" w:cs="宋体"/>
                <w:color w:val="000000"/>
                <w:kern w:val="0"/>
                <w:szCs w:val="21"/>
              </w:rPr>
              <w:t>5</w:t>
            </w:r>
            <w:r>
              <w:rPr>
                <w:rFonts w:hint="eastAsia" w:ascii="宋体" w:hAnsi="宋体" w:cs="宋体"/>
                <w:color w:val="000000"/>
                <w:kern w:val="0"/>
                <w:szCs w:val="21"/>
              </w:rPr>
              <w:t>只</w:t>
            </w:r>
          </w:p>
        </w:tc>
        <w:tc>
          <w:tcPr>
            <w:tcW w:w="953" w:type="dxa"/>
            <w:vAlign w:val="center"/>
          </w:tcPr>
          <w:p w14:paraId="2239BD43">
            <w:pPr>
              <w:autoSpaceDE w:val="0"/>
              <w:autoSpaceDN w:val="0"/>
              <w:jc w:val="center"/>
              <w:rPr>
                <w:rFonts w:ascii="宋体" w:hAnsi="宋体" w:cs="宋体"/>
                <w:color w:val="000000"/>
                <w:kern w:val="0"/>
                <w:szCs w:val="21"/>
              </w:rPr>
            </w:pPr>
            <w:r>
              <w:rPr>
                <w:rFonts w:hint="eastAsia" w:ascii="宋体" w:hAnsi="宋体" w:cs="宋体"/>
                <w:color w:val="000000"/>
                <w:kern w:val="0"/>
                <w:szCs w:val="21"/>
              </w:rPr>
              <w:t>良好</w:t>
            </w:r>
          </w:p>
        </w:tc>
        <w:tc>
          <w:tcPr>
            <w:tcW w:w="1559" w:type="dxa"/>
            <w:gridSpan w:val="2"/>
          </w:tcPr>
          <w:p w14:paraId="65D75C02">
            <w:pPr>
              <w:rPr>
                <w:rFonts w:ascii="宋体" w:hAnsi="宋体"/>
                <w:color w:val="000000"/>
              </w:rPr>
            </w:pPr>
            <w:r>
              <w:rPr>
                <w:rFonts w:hint="eastAsia" w:ascii="宋体" w:hAnsi="宋体" w:cs="宋体"/>
                <w:color w:val="000000"/>
                <w:kern w:val="0"/>
                <w:szCs w:val="21"/>
              </w:rPr>
              <w:t>有效期内</w:t>
            </w:r>
          </w:p>
        </w:tc>
      </w:tr>
      <w:tr w14:paraId="72E8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34AD14D9">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供电器材配备情况</w:t>
            </w:r>
          </w:p>
        </w:tc>
        <w:tc>
          <w:tcPr>
            <w:tcW w:w="1948" w:type="dxa"/>
            <w:gridSpan w:val="3"/>
            <w:vAlign w:val="center"/>
          </w:tcPr>
          <w:p w14:paraId="2B3660A0">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名称</w:t>
            </w:r>
          </w:p>
        </w:tc>
        <w:tc>
          <w:tcPr>
            <w:tcW w:w="1296" w:type="dxa"/>
            <w:gridSpan w:val="3"/>
            <w:vAlign w:val="center"/>
          </w:tcPr>
          <w:p w14:paraId="36E9AE01">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型号</w:t>
            </w:r>
          </w:p>
        </w:tc>
        <w:tc>
          <w:tcPr>
            <w:tcW w:w="993" w:type="dxa"/>
            <w:vAlign w:val="center"/>
          </w:tcPr>
          <w:p w14:paraId="0E38910E">
            <w:pPr>
              <w:autoSpaceDE w:val="0"/>
              <w:autoSpaceDN w:val="0"/>
              <w:jc w:val="center"/>
              <w:rPr>
                <w:rFonts w:ascii="宋体" w:hAnsi="宋体" w:cs="宋体"/>
                <w:b/>
                <w:color w:val="000000"/>
                <w:kern w:val="0"/>
                <w:szCs w:val="21"/>
              </w:rPr>
            </w:pPr>
            <w:r>
              <w:rPr>
                <w:rFonts w:hint="eastAsia" w:ascii="宋体" w:hAnsi="宋体" w:cs="宋体"/>
                <w:b/>
                <w:color w:val="000000"/>
                <w:kern w:val="0"/>
                <w:szCs w:val="21"/>
              </w:rPr>
              <w:t>数量</w:t>
            </w:r>
          </w:p>
        </w:tc>
        <w:tc>
          <w:tcPr>
            <w:tcW w:w="2512" w:type="dxa"/>
            <w:gridSpan w:val="3"/>
            <w:vAlign w:val="center"/>
          </w:tcPr>
          <w:p w14:paraId="540C9070">
            <w:pPr>
              <w:jc w:val="center"/>
              <w:rPr>
                <w:rFonts w:ascii="宋体" w:hAnsi="宋体" w:cs="宋体"/>
                <w:b/>
                <w:color w:val="000000"/>
                <w:kern w:val="0"/>
                <w:szCs w:val="21"/>
              </w:rPr>
            </w:pPr>
            <w:r>
              <w:rPr>
                <w:rFonts w:hint="eastAsia" w:ascii="宋体" w:hAnsi="宋体" w:cs="宋体"/>
                <w:b/>
                <w:color w:val="000000"/>
                <w:kern w:val="0"/>
                <w:szCs w:val="21"/>
              </w:rPr>
              <w:t>状况</w:t>
            </w:r>
          </w:p>
        </w:tc>
      </w:tr>
      <w:tr w14:paraId="36DE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C876951">
            <w:pPr>
              <w:autoSpaceDE w:val="0"/>
              <w:autoSpaceDN w:val="0"/>
              <w:jc w:val="center"/>
              <w:rPr>
                <w:rFonts w:ascii="宋体" w:hAnsi="宋体" w:cs="宋体"/>
                <w:color w:val="000000"/>
                <w:kern w:val="0"/>
                <w:szCs w:val="21"/>
              </w:rPr>
            </w:pPr>
          </w:p>
        </w:tc>
        <w:tc>
          <w:tcPr>
            <w:tcW w:w="1948" w:type="dxa"/>
            <w:gridSpan w:val="3"/>
            <w:vAlign w:val="center"/>
          </w:tcPr>
          <w:p w14:paraId="04791FB4">
            <w:pPr>
              <w:autoSpaceDE w:val="0"/>
              <w:autoSpaceDN w:val="0"/>
              <w:jc w:val="center"/>
              <w:rPr>
                <w:rFonts w:ascii="宋体" w:hAnsi="宋体" w:cs="宋体"/>
                <w:color w:val="000000"/>
                <w:kern w:val="0"/>
                <w:szCs w:val="21"/>
              </w:rPr>
            </w:pPr>
            <w:r>
              <w:rPr>
                <w:rFonts w:hint="eastAsia" w:ascii="宋体" w:hAnsi="宋体" w:cs="宋体"/>
                <w:color w:val="000000"/>
                <w:kern w:val="0"/>
                <w:szCs w:val="21"/>
              </w:rPr>
              <w:t>应急照明灯</w:t>
            </w:r>
          </w:p>
        </w:tc>
        <w:tc>
          <w:tcPr>
            <w:tcW w:w="1296" w:type="dxa"/>
            <w:gridSpan w:val="3"/>
            <w:vAlign w:val="center"/>
          </w:tcPr>
          <w:p w14:paraId="629B41BD">
            <w:pPr>
              <w:pStyle w:val="28"/>
              <w:spacing w:before="150" w:line="360" w:lineRule="atLeast"/>
              <w:jc w:val="center"/>
              <w:rPr>
                <w:rFonts w:cs="Arial"/>
                <w:color w:val="000000"/>
                <w:sz w:val="21"/>
                <w:szCs w:val="21"/>
              </w:rPr>
            </w:pPr>
            <w:r>
              <w:rPr>
                <w:color w:val="000000"/>
                <w:sz w:val="21"/>
                <w:szCs w:val="21"/>
              </w:rPr>
              <w:t>DB-119J,220V</w:t>
            </w:r>
          </w:p>
          <w:p w14:paraId="567D8231">
            <w:pPr>
              <w:autoSpaceDE w:val="0"/>
              <w:autoSpaceDN w:val="0"/>
              <w:jc w:val="center"/>
              <w:rPr>
                <w:rFonts w:ascii="宋体" w:hAnsi="宋体" w:cs="宋体"/>
                <w:color w:val="000000"/>
                <w:kern w:val="0"/>
                <w:szCs w:val="21"/>
              </w:rPr>
            </w:pPr>
          </w:p>
        </w:tc>
        <w:tc>
          <w:tcPr>
            <w:tcW w:w="993" w:type="dxa"/>
            <w:vAlign w:val="center"/>
          </w:tcPr>
          <w:p w14:paraId="6246428E">
            <w:pPr>
              <w:autoSpaceDE w:val="0"/>
              <w:autoSpaceDN w:val="0"/>
              <w:jc w:val="center"/>
              <w:rPr>
                <w:rFonts w:ascii="宋体" w:hAnsi="宋体" w:cs="宋体"/>
                <w:color w:val="000000"/>
                <w:kern w:val="0"/>
                <w:szCs w:val="21"/>
              </w:rPr>
            </w:pPr>
            <w:r>
              <w:rPr>
                <w:rFonts w:hint="eastAsia" w:ascii="宋体" w:hAnsi="宋体" w:cs="宋体"/>
                <w:color w:val="000000"/>
                <w:kern w:val="0"/>
                <w:szCs w:val="21"/>
              </w:rPr>
              <w:t>8</w:t>
            </w:r>
          </w:p>
        </w:tc>
        <w:tc>
          <w:tcPr>
            <w:tcW w:w="2512" w:type="dxa"/>
            <w:gridSpan w:val="3"/>
            <w:vAlign w:val="center"/>
          </w:tcPr>
          <w:p w14:paraId="7A247E02">
            <w:pPr>
              <w:jc w:val="center"/>
              <w:rPr>
                <w:rFonts w:ascii="宋体" w:hAnsi="宋体" w:cs="宋体"/>
                <w:color w:val="000000"/>
                <w:kern w:val="0"/>
                <w:szCs w:val="21"/>
              </w:rPr>
            </w:pPr>
            <w:r>
              <w:rPr>
                <w:rFonts w:hint="eastAsia" w:ascii="宋体" w:hAnsi="宋体" w:cs="宋体"/>
                <w:color w:val="000000"/>
                <w:kern w:val="0"/>
                <w:szCs w:val="21"/>
              </w:rPr>
              <w:t>良好</w:t>
            </w:r>
          </w:p>
        </w:tc>
      </w:tr>
      <w:tr w14:paraId="4879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9A77778">
            <w:pPr>
              <w:autoSpaceDE w:val="0"/>
              <w:autoSpaceDN w:val="0"/>
              <w:jc w:val="center"/>
              <w:rPr>
                <w:rFonts w:ascii="宋体" w:hAnsi="宋体" w:cs="宋体"/>
                <w:color w:val="000000"/>
                <w:kern w:val="0"/>
                <w:szCs w:val="21"/>
              </w:rPr>
            </w:pPr>
          </w:p>
        </w:tc>
        <w:tc>
          <w:tcPr>
            <w:tcW w:w="1948" w:type="dxa"/>
            <w:gridSpan w:val="3"/>
            <w:vAlign w:val="center"/>
          </w:tcPr>
          <w:p w14:paraId="5D62D78E">
            <w:pPr>
              <w:autoSpaceDE w:val="0"/>
              <w:autoSpaceDN w:val="0"/>
              <w:jc w:val="center"/>
              <w:rPr>
                <w:rFonts w:ascii="宋体" w:hAnsi="宋体" w:cs="宋体"/>
                <w:color w:val="000000"/>
                <w:kern w:val="0"/>
                <w:szCs w:val="21"/>
              </w:rPr>
            </w:pPr>
            <w:r>
              <w:rPr>
                <w:rFonts w:hint="eastAsia" w:ascii="宋体" w:hAnsi="宋体" w:cs="宋体"/>
                <w:color w:val="000000"/>
                <w:kern w:val="0"/>
                <w:szCs w:val="21"/>
              </w:rPr>
              <w:t>配电柜</w:t>
            </w:r>
          </w:p>
        </w:tc>
        <w:tc>
          <w:tcPr>
            <w:tcW w:w="1296" w:type="dxa"/>
            <w:gridSpan w:val="3"/>
            <w:vAlign w:val="center"/>
          </w:tcPr>
          <w:p w14:paraId="15D237DA">
            <w:pPr>
              <w:pStyle w:val="28"/>
              <w:spacing w:before="150" w:line="360" w:lineRule="atLeast"/>
              <w:jc w:val="center"/>
              <w:rPr>
                <w:color w:val="000000"/>
                <w:sz w:val="21"/>
                <w:szCs w:val="21"/>
              </w:rPr>
            </w:pPr>
          </w:p>
        </w:tc>
        <w:tc>
          <w:tcPr>
            <w:tcW w:w="993" w:type="dxa"/>
            <w:vAlign w:val="center"/>
          </w:tcPr>
          <w:p w14:paraId="5AD14FF4">
            <w:pPr>
              <w:autoSpaceDE w:val="0"/>
              <w:autoSpaceDN w:val="0"/>
              <w:jc w:val="center"/>
              <w:rPr>
                <w:rFonts w:ascii="宋体" w:hAnsi="宋体" w:cs="宋体"/>
                <w:color w:val="000000"/>
                <w:kern w:val="0"/>
                <w:szCs w:val="21"/>
              </w:rPr>
            </w:pPr>
            <w:r>
              <w:rPr>
                <w:rFonts w:hint="eastAsia" w:ascii="宋体" w:hAnsi="宋体" w:cs="宋体"/>
                <w:color w:val="000000"/>
                <w:kern w:val="0"/>
                <w:szCs w:val="21"/>
              </w:rPr>
              <w:t>1</w:t>
            </w:r>
          </w:p>
        </w:tc>
        <w:tc>
          <w:tcPr>
            <w:tcW w:w="2512" w:type="dxa"/>
            <w:gridSpan w:val="3"/>
            <w:vAlign w:val="center"/>
          </w:tcPr>
          <w:p w14:paraId="67B2B984">
            <w:pPr>
              <w:jc w:val="center"/>
              <w:rPr>
                <w:rFonts w:ascii="宋体" w:hAnsi="宋体" w:cs="宋体"/>
                <w:color w:val="000000"/>
                <w:kern w:val="0"/>
                <w:szCs w:val="21"/>
              </w:rPr>
            </w:pPr>
            <w:r>
              <w:rPr>
                <w:rFonts w:hint="eastAsia" w:ascii="宋体" w:hAnsi="宋体" w:cs="宋体"/>
                <w:color w:val="000000"/>
                <w:kern w:val="0"/>
                <w:szCs w:val="21"/>
              </w:rPr>
              <w:t>良好</w:t>
            </w:r>
          </w:p>
        </w:tc>
      </w:tr>
      <w:tr w14:paraId="43FA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175972E7">
            <w:pPr>
              <w:autoSpaceDE w:val="0"/>
              <w:autoSpaceDN w:val="0"/>
              <w:jc w:val="center"/>
              <w:rPr>
                <w:rFonts w:ascii="宋体" w:hAnsi="宋体" w:cs="宋体"/>
                <w:color w:val="000000"/>
                <w:kern w:val="0"/>
                <w:szCs w:val="21"/>
              </w:rPr>
            </w:pPr>
          </w:p>
        </w:tc>
        <w:tc>
          <w:tcPr>
            <w:tcW w:w="1948" w:type="dxa"/>
            <w:gridSpan w:val="3"/>
            <w:vAlign w:val="center"/>
          </w:tcPr>
          <w:p w14:paraId="2B59B8FA">
            <w:pPr>
              <w:autoSpaceDE w:val="0"/>
              <w:autoSpaceDN w:val="0"/>
              <w:jc w:val="center"/>
              <w:rPr>
                <w:rFonts w:ascii="宋体" w:hAnsi="宋体" w:cs="宋体"/>
                <w:color w:val="000000"/>
                <w:kern w:val="0"/>
                <w:szCs w:val="21"/>
              </w:rPr>
            </w:pPr>
            <w:r>
              <w:rPr>
                <w:rFonts w:hint="eastAsia" w:ascii="宋体" w:hAnsi="宋体" w:cs="宋体"/>
                <w:color w:val="000000"/>
                <w:kern w:val="0"/>
                <w:szCs w:val="21"/>
              </w:rPr>
              <w:t>发电机</w:t>
            </w:r>
          </w:p>
        </w:tc>
        <w:tc>
          <w:tcPr>
            <w:tcW w:w="1296" w:type="dxa"/>
            <w:gridSpan w:val="3"/>
            <w:vAlign w:val="center"/>
          </w:tcPr>
          <w:p w14:paraId="7F0022E7">
            <w:pPr>
              <w:pStyle w:val="28"/>
              <w:spacing w:before="150" w:line="360" w:lineRule="atLeast"/>
              <w:jc w:val="center"/>
              <w:rPr>
                <w:color w:val="000000"/>
                <w:sz w:val="21"/>
                <w:szCs w:val="21"/>
              </w:rPr>
            </w:pPr>
          </w:p>
        </w:tc>
        <w:tc>
          <w:tcPr>
            <w:tcW w:w="993" w:type="dxa"/>
            <w:vAlign w:val="center"/>
          </w:tcPr>
          <w:p w14:paraId="5A4ED480">
            <w:pPr>
              <w:autoSpaceDE w:val="0"/>
              <w:autoSpaceDN w:val="0"/>
              <w:jc w:val="center"/>
              <w:rPr>
                <w:rFonts w:ascii="宋体" w:hAnsi="宋体" w:cs="宋体"/>
                <w:color w:val="000000"/>
                <w:kern w:val="0"/>
                <w:szCs w:val="21"/>
              </w:rPr>
            </w:pPr>
            <w:r>
              <w:rPr>
                <w:rFonts w:hint="eastAsia" w:ascii="宋体" w:hAnsi="宋体" w:cs="宋体"/>
                <w:color w:val="000000"/>
                <w:kern w:val="0"/>
                <w:szCs w:val="21"/>
              </w:rPr>
              <w:t>1</w:t>
            </w:r>
          </w:p>
        </w:tc>
        <w:tc>
          <w:tcPr>
            <w:tcW w:w="2512" w:type="dxa"/>
            <w:gridSpan w:val="3"/>
            <w:vAlign w:val="center"/>
          </w:tcPr>
          <w:p w14:paraId="61F7C880">
            <w:pPr>
              <w:jc w:val="center"/>
              <w:rPr>
                <w:rFonts w:ascii="宋体" w:hAnsi="宋体" w:cs="宋体"/>
                <w:color w:val="000000"/>
                <w:kern w:val="0"/>
                <w:szCs w:val="21"/>
              </w:rPr>
            </w:pPr>
            <w:r>
              <w:rPr>
                <w:rFonts w:hint="eastAsia" w:ascii="宋体" w:hAnsi="宋体" w:cs="宋体"/>
                <w:color w:val="000000"/>
                <w:kern w:val="0"/>
                <w:szCs w:val="21"/>
              </w:rPr>
              <w:t>良好</w:t>
            </w:r>
          </w:p>
        </w:tc>
      </w:tr>
      <w:tr w14:paraId="1AD7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Align w:val="center"/>
          </w:tcPr>
          <w:p w14:paraId="7A1FBE1E">
            <w:pPr>
              <w:autoSpaceDE w:val="0"/>
              <w:autoSpaceDN w:val="0"/>
              <w:jc w:val="center"/>
              <w:rPr>
                <w:rFonts w:ascii="宋体" w:hAnsi="宋体" w:cs="宋体"/>
                <w:color w:val="000000"/>
                <w:kern w:val="0"/>
                <w:szCs w:val="21"/>
              </w:rPr>
            </w:pPr>
            <w:r>
              <w:rPr>
                <w:rFonts w:hint="eastAsia" w:ascii="宋体" w:hAnsi="宋体" w:cs="宋体"/>
                <w:color w:val="000000"/>
                <w:kern w:val="0"/>
                <w:szCs w:val="21"/>
              </w:rPr>
              <w:t>主要安全警示标志</w:t>
            </w:r>
          </w:p>
        </w:tc>
        <w:tc>
          <w:tcPr>
            <w:tcW w:w="6749" w:type="dxa"/>
            <w:gridSpan w:val="10"/>
            <w:vAlign w:val="center"/>
          </w:tcPr>
          <w:p w14:paraId="7F34FABB">
            <w:pPr>
              <w:rPr>
                <w:rFonts w:ascii="宋体" w:hAnsi="宋体" w:cs="宋体"/>
                <w:color w:val="000000"/>
                <w:kern w:val="0"/>
                <w:szCs w:val="21"/>
              </w:rPr>
            </w:pPr>
            <w:r>
              <w:rPr>
                <w:rFonts w:hint="eastAsia" w:ascii="宋体" w:hAnsi="宋体" w:cs="宋体"/>
                <w:color w:val="000000"/>
                <w:kern w:val="0"/>
                <w:szCs w:val="21"/>
              </w:rPr>
              <w:t>进站须知、限速、严禁烟火、禁止打手机、停车熄火、禁打手机、有电危险、操作规程等。</w:t>
            </w:r>
          </w:p>
        </w:tc>
      </w:tr>
    </w:tbl>
    <w:p w14:paraId="09372A52">
      <w:pPr>
        <w:pStyle w:val="4"/>
        <w:spacing w:afterLines="100" w:line="500" w:lineRule="exact"/>
        <w:jc w:val="center"/>
        <w:rPr>
          <w:rFonts w:ascii="楷体_GB2312" w:hAnsi="宋体" w:eastAsia="楷体_GB2312"/>
          <w:kern w:val="3"/>
        </w:rPr>
      </w:pPr>
      <w:bookmarkStart w:id="77" w:name="_Toc71894869"/>
      <w:r>
        <w:rPr>
          <w:rFonts w:hint="eastAsia" w:ascii="楷体_GB2312" w:hAnsi="宋体" w:eastAsia="楷体_GB2312"/>
          <w:kern w:val="3"/>
        </w:rPr>
        <w:t>2</w:t>
      </w:r>
      <w:r>
        <w:rPr>
          <w:rFonts w:ascii="楷体_GB2312" w:hAnsi="宋体" w:eastAsia="楷体_GB2312"/>
          <w:kern w:val="3"/>
        </w:rPr>
        <w:t xml:space="preserve">.2  </w:t>
      </w:r>
      <w:bookmarkStart w:id="78" w:name="_Toc45703678"/>
      <w:bookmarkStart w:id="79" w:name="_Toc45700518"/>
      <w:bookmarkStart w:id="80" w:name="_Toc196033025"/>
      <w:bookmarkStart w:id="81" w:name="_Toc62181043"/>
      <w:bookmarkStart w:id="82" w:name="_Toc45511282"/>
      <w:bookmarkStart w:id="83" w:name="_Toc321068205"/>
      <w:bookmarkStart w:id="84" w:name="_Toc45677418"/>
      <w:bookmarkStart w:id="85" w:name="_Toc89539543"/>
      <w:bookmarkStart w:id="86" w:name="_Toc45510916"/>
      <w:r>
        <w:rPr>
          <w:rFonts w:hint="eastAsia" w:ascii="楷体_GB2312" w:hAnsi="宋体" w:eastAsia="楷体_GB2312"/>
          <w:kern w:val="3"/>
        </w:rPr>
        <w:t>站址及周边环境情况</w:t>
      </w:r>
      <w:bookmarkEnd w:id="77"/>
      <w:bookmarkEnd w:id="78"/>
      <w:bookmarkEnd w:id="79"/>
      <w:bookmarkEnd w:id="80"/>
      <w:bookmarkEnd w:id="81"/>
      <w:bookmarkEnd w:id="82"/>
      <w:bookmarkEnd w:id="83"/>
      <w:bookmarkEnd w:id="84"/>
      <w:bookmarkEnd w:id="85"/>
      <w:bookmarkEnd w:id="86"/>
    </w:p>
    <w:p w14:paraId="08F7C9AD">
      <w:pPr>
        <w:pStyle w:val="4"/>
        <w:spacing w:afterLines="100" w:line="500" w:lineRule="exact"/>
        <w:rPr>
          <w:rFonts w:ascii="黑体" w:hAnsi="宋体"/>
          <w:kern w:val="3"/>
          <w:sz w:val="28"/>
          <w:szCs w:val="28"/>
        </w:rPr>
      </w:pPr>
      <w:bookmarkStart w:id="87" w:name="_Toc71894870"/>
      <w:r>
        <w:rPr>
          <w:rFonts w:hint="eastAsia" w:ascii="黑体" w:hAnsi="宋体"/>
          <w:kern w:val="3"/>
          <w:sz w:val="28"/>
          <w:szCs w:val="28"/>
        </w:rPr>
        <w:t>2.2.1 交通地理位置</w:t>
      </w:r>
      <w:bookmarkEnd w:id="87"/>
    </w:p>
    <w:p w14:paraId="17B84CDA">
      <w:pPr>
        <w:autoSpaceDE w:val="0"/>
        <w:autoSpaceDN w:val="0"/>
        <w:adjustRightInd w:val="0"/>
        <w:snapToGrid w:val="0"/>
        <w:spacing w:line="360" w:lineRule="auto"/>
        <w:ind w:firstLine="560" w:firstLineChars="200"/>
        <w:rPr>
          <w:rFonts w:ascii="宋体" w:hAnsi="宋体"/>
          <w:sz w:val="28"/>
          <w:szCs w:val="28"/>
        </w:rPr>
      </w:pPr>
      <w:bookmarkStart w:id="88" w:name="OLE_LINK2"/>
      <w:bookmarkStart w:id="89" w:name="_Hlk534379048"/>
      <w:bookmarkStart w:id="90" w:name="OLE_LINK3"/>
      <w:bookmarkStart w:id="91" w:name="_Toc71894871"/>
      <w:r>
        <w:rPr>
          <w:rFonts w:hint="eastAsia" w:ascii="宋体" w:hAnsi="宋体"/>
          <w:color w:val="000000"/>
          <w:sz w:val="28"/>
          <w:lang w:eastAsia="zh-CN"/>
        </w:rPr>
        <w:t>盐津县豆沙狮子湾加油站</w:t>
      </w:r>
      <w:r>
        <w:rPr>
          <w:rFonts w:hint="eastAsia" w:ascii="宋体" w:hAnsi="宋体"/>
          <w:color w:val="000000"/>
          <w:sz w:val="28"/>
        </w:rPr>
        <w:t>站址位于</w:t>
      </w:r>
      <w:r>
        <w:rPr>
          <w:rFonts w:hint="eastAsia" w:ascii="宋体" w:hAnsi="宋体"/>
          <w:color w:val="000000"/>
          <w:sz w:val="28"/>
          <w:lang w:eastAsia="zh-CN"/>
        </w:rPr>
        <w:t>盐津县豆沙镇黑喜村狮子湾，水麻线公路的南侧，加油站距离豆沙关古镇约3km，距离盐津县县城约25km，位置优越，交通便利。</w:t>
      </w:r>
      <w:bookmarkEnd w:id="88"/>
      <w:bookmarkEnd w:id="89"/>
      <w:bookmarkEnd w:id="90"/>
    </w:p>
    <w:p w14:paraId="2AAFE43F">
      <w:pPr>
        <w:jc w:val="center"/>
        <w:rPr>
          <w:rFonts w:ascii="宋体" w:hAnsi="宋体" w:cs="宋体"/>
          <w:color w:val="000000"/>
          <w:kern w:val="0"/>
          <w:sz w:val="24"/>
        </w:rPr>
      </w:pPr>
      <w:r>
        <w:rPr>
          <w:rFonts w:ascii="宋体" w:hAnsi="宋体"/>
          <w:sz w:val="28"/>
          <w:szCs w:val="28"/>
        </w:rPr>
        <w:pict>
          <v:shape id="_x0000_s2241" o:spid="_x0000_s2241" o:spt="61" type="#_x0000_t61" style="position:absolute;left:0pt;margin-left:169pt;margin-top:115.2pt;height:23.4pt;width:63pt;z-index:251665408;mso-width-relative:page;mso-height-relative:page;" fillcolor="#FF0000" filled="t" coordsize="21600,21600" adj="-10989,54323">
            <v:path/>
            <v:fill on="t" focussize="0,0"/>
            <v:stroke joinstyle="miter"/>
            <v:imagedata o:title=""/>
            <o:lock v:ext="edit"/>
            <v:textbox>
              <w:txbxContent>
                <w:p w14:paraId="4CA08C05">
                  <w:r>
                    <w:rPr>
                      <w:rFonts w:hint="eastAsia"/>
                    </w:rPr>
                    <w:t>加油站</w:t>
                  </w:r>
                </w:p>
              </w:txbxContent>
            </v:textbox>
          </v:shape>
        </w:pict>
      </w:r>
      <w:r>
        <w:rPr>
          <w:rFonts w:ascii="宋体" w:hAnsi="宋体" w:cs="宋体"/>
          <w:kern w:val="0"/>
          <w:sz w:val="24"/>
        </w:rPr>
        <w:fldChar w:fldCharType="begin"/>
      </w:r>
      <w:r>
        <w:rPr>
          <w:rFonts w:ascii="宋体" w:hAnsi="宋体" w:cs="宋体"/>
          <w:kern w:val="0"/>
          <w:sz w:val="24"/>
        </w:rPr>
        <w:instrText xml:space="preserve"> INCLUDEPICTURE "C:\\WINDOWS\\TEMP\\L20IGORZ9EE2FF(E]`YG]UY.jpg"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4876800" cy="3962400"/>
            <wp:effectExtent l="0" t="0" r="0" b="0"/>
            <wp:docPr id="32" name="图片 5" descr="L20IGORZ9EE2FF(E]`YG]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descr="L20IGORZ9EE2FF(E]`YG]UY"/>
                    <pic:cNvPicPr>
                      <a:picLocks noChangeAspect="1"/>
                    </pic:cNvPicPr>
                  </pic:nvPicPr>
                  <pic:blipFill>
                    <a:blip r:embed="rId25"/>
                    <a:stretch>
                      <a:fillRect/>
                    </a:stretch>
                  </pic:blipFill>
                  <pic:spPr>
                    <a:xfrm>
                      <a:off x="0" y="0"/>
                      <a:ext cx="4876800" cy="3962400"/>
                    </a:xfrm>
                    <a:prstGeom prst="rect">
                      <a:avLst/>
                    </a:prstGeom>
                    <a:noFill/>
                    <a:ln w="9525">
                      <a:noFill/>
                    </a:ln>
                  </pic:spPr>
                </pic:pic>
              </a:graphicData>
            </a:graphic>
          </wp:inline>
        </w:drawing>
      </w:r>
      <w:r>
        <w:rPr>
          <w:rFonts w:ascii="宋体" w:hAnsi="宋体" w:cs="宋体"/>
          <w:kern w:val="0"/>
          <w:sz w:val="24"/>
        </w:rPr>
        <w:fldChar w:fldCharType="end"/>
      </w:r>
    </w:p>
    <w:p w14:paraId="7FD3A2C6">
      <w:pPr>
        <w:ind w:firstLine="560" w:firstLineChars="200"/>
        <w:jc w:val="center"/>
        <w:rPr>
          <w:rFonts w:ascii="宋体" w:hAnsi="宋体"/>
          <w:color w:val="000000"/>
          <w:sz w:val="28"/>
          <w:szCs w:val="28"/>
        </w:rPr>
      </w:pPr>
      <w:r>
        <w:rPr>
          <w:rFonts w:hint="eastAsia" w:ascii="宋体" w:hAnsi="宋体"/>
          <w:color w:val="000000"/>
          <w:sz w:val="28"/>
          <w:szCs w:val="28"/>
        </w:rPr>
        <w:t>图2-1加油站交通位置图</w:t>
      </w:r>
    </w:p>
    <w:p w14:paraId="4EA119D4">
      <w:pPr>
        <w:pStyle w:val="4"/>
        <w:spacing w:afterLines="100" w:line="500" w:lineRule="exact"/>
        <w:rPr>
          <w:rFonts w:ascii="黑体" w:hAnsi="宋体"/>
          <w:kern w:val="3"/>
          <w:sz w:val="28"/>
          <w:szCs w:val="28"/>
        </w:rPr>
      </w:pPr>
      <w:r>
        <w:rPr>
          <w:rFonts w:hint="eastAsia" w:ascii="黑体" w:hAnsi="宋体"/>
          <w:kern w:val="3"/>
          <w:sz w:val="28"/>
          <w:szCs w:val="28"/>
        </w:rPr>
        <w:t>2.2.2 周边环境情况</w:t>
      </w:r>
      <w:bookmarkEnd w:id="91"/>
    </w:p>
    <w:p w14:paraId="7E8EFC7E">
      <w:pPr>
        <w:spacing w:line="500" w:lineRule="exact"/>
        <w:ind w:firstLine="560" w:firstLineChars="200"/>
        <w:rPr>
          <w:rFonts w:hint="eastAsia" w:ascii="宋体" w:hAnsi="宋体"/>
          <w:color w:val="000000"/>
          <w:sz w:val="28"/>
        </w:rPr>
      </w:pPr>
      <w:bookmarkStart w:id="92" w:name="_Toc71894872"/>
      <w:r>
        <w:rPr>
          <w:rFonts w:hint="eastAsia" w:ascii="宋体" w:hAnsi="宋体"/>
          <w:color w:val="000000"/>
          <w:sz w:val="28"/>
        </w:rPr>
        <w:t>盐津县豆沙狮子湾加油站位于云南省昭通市盐津县豆沙镇黑喜村狮子湾，加油站坐南朝北布置，加油站北面（站前）为水麻线公路，隔公路为荒山，公路边缘距离站内最近的汽油、柴油加油机为7.8m，距离埋地柴汽油罐、柴油罐分别为16.1m、20.4m，距离汽油、柴油通气管口为16.4m。</w:t>
      </w:r>
    </w:p>
    <w:p w14:paraId="5728C5FD">
      <w:pPr>
        <w:spacing w:line="500" w:lineRule="exact"/>
        <w:ind w:firstLine="560" w:firstLineChars="200"/>
        <w:rPr>
          <w:rFonts w:hint="eastAsia" w:ascii="宋体" w:hAnsi="宋体"/>
          <w:color w:val="000000"/>
          <w:sz w:val="28"/>
        </w:rPr>
      </w:pPr>
      <w:r>
        <w:rPr>
          <w:rFonts w:hint="eastAsia" w:ascii="宋体" w:hAnsi="宋体"/>
          <w:color w:val="000000"/>
          <w:sz w:val="28"/>
        </w:rPr>
        <w:t>加油站北面有一东西走向的380V架空电力线（杆高9m），架空电力线与加油站隔路相邻；架空电力线距离站内最近的汽油、柴油加油机为25.6m，距离埋地柴汽油罐、柴油罐分别为34.2m、38m，距离汽油、柴油通气管口为33.8m。</w:t>
      </w:r>
    </w:p>
    <w:p w14:paraId="54EC186D">
      <w:pPr>
        <w:spacing w:line="500" w:lineRule="exact"/>
        <w:ind w:firstLine="560" w:firstLineChars="200"/>
        <w:rPr>
          <w:rFonts w:hint="eastAsia" w:ascii="宋体" w:hAnsi="宋体"/>
          <w:color w:val="000000"/>
          <w:sz w:val="28"/>
        </w:rPr>
      </w:pPr>
      <w:r>
        <w:rPr>
          <w:rFonts w:hint="eastAsia" w:ascii="宋体" w:hAnsi="宋体"/>
          <w:color w:val="000000"/>
          <w:sz w:val="28"/>
        </w:rPr>
        <w:t>加油站东面为民房，民房按照站外民用建筑物保护类别三类保护物计算，距离站内最近的汽油、柴油加油机分别为15.5m、19.5m，距离埋地汽油罐、柴油罐为分别为9m、7.2m，距离汽油、柴油通气管口为13.3m；</w:t>
      </w:r>
    </w:p>
    <w:p w14:paraId="754AF1A5">
      <w:pPr>
        <w:spacing w:line="500" w:lineRule="exact"/>
        <w:ind w:firstLine="560" w:firstLineChars="200"/>
        <w:rPr>
          <w:rFonts w:hint="eastAsia" w:ascii="宋体" w:hAnsi="宋体"/>
          <w:color w:val="000000"/>
          <w:sz w:val="28"/>
        </w:rPr>
      </w:pPr>
      <w:r>
        <w:rPr>
          <w:rFonts w:hint="eastAsia" w:ascii="宋体" w:hAnsi="宋体"/>
          <w:color w:val="000000"/>
          <w:sz w:val="28"/>
        </w:rPr>
        <w:t>加油站东面有洗车机，洗车机按照站外民用建筑物保护类别三类保护物计算，距离站内最近的汽油、柴油加油机分别为27.5m，距离埋地汽油罐、柴油罐为分别为17m、15.2m，距离汽油、柴油通气管口为21.3m；</w:t>
      </w:r>
    </w:p>
    <w:p w14:paraId="1B1A89EF">
      <w:pPr>
        <w:spacing w:line="500" w:lineRule="exact"/>
        <w:ind w:firstLine="560" w:firstLineChars="200"/>
        <w:rPr>
          <w:rFonts w:hint="eastAsia" w:ascii="宋体" w:hAnsi="宋体"/>
          <w:color w:val="000000"/>
          <w:sz w:val="28"/>
        </w:rPr>
      </w:pPr>
      <w:r>
        <w:rPr>
          <w:rFonts w:hint="eastAsia" w:ascii="宋体" w:hAnsi="宋体"/>
          <w:color w:val="000000"/>
          <w:sz w:val="28"/>
        </w:rPr>
        <w:t>加油站南面为大关河，距离站区边界15.7m。加油站南面紧邻加油站未高约11m的边坡，边坡采用重力式挡土墙进行支护，挡土墙选取合适的持力层，高度不超过8m，超过8m时采取分台处理，确定基础进入岩土深度，挡土墙上设置排水孔，挡墙外设排洪沟。</w:t>
      </w:r>
    </w:p>
    <w:p w14:paraId="61A99B60">
      <w:pPr>
        <w:spacing w:line="500" w:lineRule="exact"/>
        <w:ind w:firstLine="560" w:firstLineChars="200"/>
        <w:rPr>
          <w:rFonts w:hint="eastAsia" w:ascii="宋体" w:hAnsi="宋体"/>
          <w:color w:val="000000"/>
          <w:sz w:val="28"/>
        </w:rPr>
      </w:pPr>
      <w:r>
        <w:rPr>
          <w:rFonts w:hint="eastAsia" w:ascii="宋体" w:hAnsi="宋体"/>
          <w:color w:val="000000"/>
          <w:sz w:val="28"/>
        </w:rPr>
        <w:t>加油站西面为空地。</w:t>
      </w:r>
    </w:p>
    <w:p w14:paraId="69D0F512">
      <w:pPr>
        <w:spacing w:line="500" w:lineRule="exact"/>
        <w:ind w:firstLine="560" w:firstLineChars="200"/>
        <w:rPr>
          <w:rFonts w:hint="eastAsia" w:ascii="宋体" w:hAnsi="宋体"/>
          <w:sz w:val="28"/>
          <w:szCs w:val="28"/>
        </w:rPr>
      </w:pPr>
      <w:r>
        <w:rPr>
          <w:rFonts w:hint="eastAsia" w:ascii="宋体" w:hAnsi="宋体"/>
          <w:color w:val="000000"/>
          <w:sz w:val="28"/>
        </w:rPr>
        <w:t>加油站在东面、西面、南面设置2.2m高实体围墙与外界隔离，100m内无重要建构筑物</w:t>
      </w:r>
      <w:r>
        <w:rPr>
          <w:rFonts w:hint="eastAsia"/>
          <w:sz w:val="28"/>
          <w:szCs w:val="28"/>
        </w:rPr>
        <w:t>。</w:t>
      </w:r>
      <w:r>
        <w:rPr>
          <w:rFonts w:hint="eastAsia" w:ascii="宋体" w:hAnsi="宋体"/>
          <w:sz w:val="28"/>
        </w:rPr>
        <w:t>加油站</w:t>
      </w:r>
      <w:r>
        <w:rPr>
          <w:rFonts w:hint="eastAsia" w:ascii="宋体" w:hAnsi="宋体"/>
          <w:sz w:val="28"/>
          <w:szCs w:val="28"/>
        </w:rPr>
        <w:t>周边</w:t>
      </w:r>
      <w:r>
        <w:rPr>
          <w:rFonts w:hint="eastAsia"/>
          <w:sz w:val="28"/>
          <w:szCs w:val="28"/>
        </w:rPr>
        <w:t>无特殊名胜、风景、旅游，动植物及水生物保护区等环境保护敏感点</w:t>
      </w:r>
      <w:r>
        <w:rPr>
          <w:rFonts w:hint="eastAsia" w:ascii="宋体" w:hAnsi="宋体"/>
          <w:sz w:val="28"/>
          <w:szCs w:val="28"/>
        </w:rPr>
        <w:t>。（加油站区域位置图见图2-2）。</w:t>
      </w:r>
    </w:p>
    <w:p w14:paraId="3111902C">
      <w:pPr>
        <w:spacing w:line="500" w:lineRule="exact"/>
        <w:ind w:firstLine="560" w:firstLineChars="200"/>
        <w:rPr>
          <w:rFonts w:hint="eastAsia" w:ascii="宋体" w:hAnsi="宋体"/>
          <w:sz w:val="28"/>
          <w:szCs w:val="28"/>
        </w:rPr>
      </w:pPr>
    </w:p>
    <w:p w14:paraId="042869E0">
      <w:pPr>
        <w:spacing w:line="500" w:lineRule="exact"/>
        <w:ind w:firstLine="560" w:firstLineChars="200"/>
        <w:rPr>
          <w:rFonts w:hint="eastAsia" w:ascii="宋体" w:hAnsi="宋体"/>
          <w:sz w:val="28"/>
          <w:szCs w:val="28"/>
        </w:rPr>
      </w:pPr>
    </w:p>
    <w:p w14:paraId="14E0C259">
      <w:pPr>
        <w:spacing w:line="500" w:lineRule="exact"/>
        <w:ind w:firstLine="560" w:firstLineChars="200"/>
        <w:rPr>
          <w:rFonts w:hint="eastAsia" w:ascii="宋体" w:hAnsi="宋体"/>
          <w:sz w:val="28"/>
          <w:szCs w:val="28"/>
        </w:rPr>
      </w:pPr>
    </w:p>
    <w:p w14:paraId="54AFAB42">
      <w:pPr>
        <w:spacing w:line="500" w:lineRule="exact"/>
        <w:ind w:firstLine="560" w:firstLineChars="200"/>
        <w:rPr>
          <w:rFonts w:hint="eastAsia" w:ascii="宋体" w:hAnsi="宋体"/>
          <w:sz w:val="28"/>
          <w:szCs w:val="28"/>
        </w:rPr>
      </w:pPr>
    </w:p>
    <w:p w14:paraId="716C9422">
      <w:pPr>
        <w:spacing w:line="500" w:lineRule="exact"/>
        <w:ind w:firstLine="560" w:firstLineChars="200"/>
        <w:rPr>
          <w:rFonts w:hint="eastAsia" w:ascii="宋体" w:hAnsi="宋体"/>
          <w:sz w:val="28"/>
          <w:szCs w:val="28"/>
        </w:rPr>
      </w:pPr>
    </w:p>
    <w:p w14:paraId="27722945">
      <w:pPr>
        <w:spacing w:line="500" w:lineRule="exact"/>
        <w:ind w:firstLine="560" w:firstLineChars="200"/>
        <w:rPr>
          <w:rFonts w:hint="eastAsia" w:ascii="宋体" w:hAnsi="宋体"/>
          <w:sz w:val="28"/>
          <w:szCs w:val="28"/>
        </w:rPr>
      </w:pPr>
    </w:p>
    <w:p w14:paraId="7EDAB978">
      <w:pPr>
        <w:spacing w:line="500" w:lineRule="exact"/>
        <w:ind w:firstLine="560" w:firstLineChars="200"/>
        <w:rPr>
          <w:color w:val="000000"/>
          <w:sz w:val="28"/>
          <w:szCs w:val="28"/>
        </w:rPr>
      </w:pPr>
      <w:r>
        <w:rPr>
          <w:color w:val="000000"/>
          <w:sz w:val="28"/>
          <w:szCs w:val="28"/>
        </w:rPr>
        <w:pict>
          <v:rect id="_x0000_s2118" o:spid="_x0000_s2118" o:spt="1" style="position:absolute;left:0pt;margin-left:36pt;margin-top:15.6pt;height:324.95pt;width:396pt;z-index:-251650048;mso-width-relative:page;mso-height-relative:page;" fillcolor="#FFFFFF" filled="t" stroked="t" coordsize="21600,21600">
            <v:path/>
            <v:fill on="t" color2="#FFFFFF" focussize="0,0"/>
            <v:stroke color="#000000" joinstyle="miter"/>
            <v:imagedata o:title=""/>
            <o:lock v:ext="edit" aspectratio="f"/>
            <v:textbox>
              <w:txbxContent>
                <w:p w14:paraId="039D4E38"/>
                <w:p w14:paraId="1F51B0A4"/>
                <w:p w14:paraId="297BE8FA"/>
                <w:p w14:paraId="5382100D">
                  <w:r>
                    <w:rPr>
                      <w:rFonts w:hint="eastAsia"/>
                    </w:rPr>
                    <w:t xml:space="preserve">                  </w:t>
                  </w:r>
                  <w:r>
                    <w:rPr>
                      <w:rFonts w:hint="eastAsia"/>
                      <w:lang w:val="en-US" w:eastAsia="zh-CN"/>
                    </w:rPr>
                    <w:t>豆沙</w:t>
                  </w:r>
                  <w:r>
                    <w:rPr>
                      <w:rFonts w:hint="eastAsia"/>
                    </w:rPr>
                    <w:t xml:space="preserve">                       </w:t>
                  </w:r>
                  <w:r>
                    <w:rPr>
                      <w:rFonts w:hint="eastAsia"/>
                      <w:lang w:val="en-US" w:eastAsia="zh-CN"/>
                    </w:rPr>
                    <w:t xml:space="preserve">    </w:t>
                  </w:r>
                  <w:r>
                    <w:rPr>
                      <w:rFonts w:hint="eastAsia"/>
                    </w:rPr>
                    <w:t xml:space="preserve">盐津                     </w:t>
                  </w:r>
                </w:p>
                <w:p w14:paraId="4A80BC4C"/>
                <w:p w14:paraId="013C92F2"/>
                <w:p w14:paraId="2F22D4F8"/>
                <w:p w14:paraId="76E3F796">
                  <w:pPr>
                    <w:rPr>
                      <w:rFonts w:hint="default" w:eastAsia="宋体"/>
                      <w:lang w:val="en-US" w:eastAsia="zh-CN"/>
                    </w:rPr>
                  </w:pPr>
                  <w:r>
                    <w:rPr>
                      <w:rFonts w:hint="eastAsia"/>
                      <w:lang w:val="en-US" w:eastAsia="zh-CN"/>
                    </w:rPr>
                    <w:t xml:space="preserve">                                          15.5m</w:t>
                  </w:r>
                </w:p>
                <w:p w14:paraId="4164BED8">
                  <w:pPr>
                    <w:rPr>
                      <w:rFonts w:hint="default" w:eastAsia="宋体"/>
                      <w:lang w:val="en-US" w:eastAsia="zh-CN"/>
                    </w:rPr>
                  </w:pPr>
                  <w:r>
                    <w:rPr>
                      <w:rFonts w:hint="eastAsia"/>
                      <w:lang w:val="en-US" w:eastAsia="zh-CN"/>
                    </w:rPr>
                    <w:t xml:space="preserve">                                                              </w:t>
                  </w:r>
                </w:p>
                <w:p w14:paraId="2BC64F24">
                  <w:pPr>
                    <w:rPr>
                      <w:rFonts w:hint="default" w:eastAsia="宋体"/>
                      <w:lang w:val="en-US" w:eastAsia="zh-CN"/>
                    </w:rPr>
                  </w:pPr>
                  <w:r>
                    <w:rPr>
                      <w:rFonts w:hint="eastAsia"/>
                      <w:lang w:val="en-US" w:eastAsia="zh-CN"/>
                    </w:rPr>
                    <w:t xml:space="preserve">                                                 9</w:t>
                  </w:r>
                  <w:r>
                    <w:rPr>
                      <w:rFonts w:hint="eastAsia"/>
                    </w:rPr>
                    <w:t>m</w:t>
                  </w:r>
                </w:p>
                <w:p w14:paraId="00B22CD5"/>
                <w:p w14:paraId="2C6E25EC"/>
                <w:p w14:paraId="07A60625">
                  <w:r>
                    <w:rPr>
                      <w:rFonts w:hint="eastAsia"/>
                    </w:rPr>
                    <w:t xml:space="preserve">                                                      11</w:t>
                  </w:r>
                </w:p>
                <w:p w14:paraId="616931DF"/>
                <w:p w14:paraId="3EB382BF"/>
                <w:p w14:paraId="4F85B39F"/>
              </w:txbxContent>
            </v:textbox>
          </v:rect>
        </w:pict>
      </w:r>
      <w:r>
        <w:rPr>
          <w:color w:val="000000"/>
          <w:sz w:val="28"/>
          <w:szCs w:val="28"/>
        </w:rPr>
        <w:pict>
          <v:shape id="_x0000_s2119" o:spid="_x0000_s2119" o:spt="136" type="#_x0000_t136" style="position:absolute;left:0pt;margin-left:81pt;margin-top:23.4pt;height:12.1pt;width:24.05pt;z-index:251679744;mso-width-relative:page;mso-height-relative:page;" coordsize="21600,21600">
            <v:path/>
            <v:fill focussize="0,0"/>
            <v:stroke/>
            <v:imagedata o:title=""/>
            <o:lock v:ext="edit"/>
            <v:textpath on="t" fitshape="t" fitpath="t" trim="t" xscale="f" string="北" style="font-family:宋体;font-size:12pt;v-text-align:center;"/>
          </v:shape>
        </w:pict>
      </w:r>
      <w:r>
        <w:rPr>
          <w:color w:val="000000"/>
          <w:sz w:val="28"/>
          <w:szCs w:val="28"/>
        </w:rPr>
        <w:pict>
          <v:line id="_x0000_s2120" o:spid="_x0000_s2120" o:spt="20" style="position:absolute;left:0pt;flip:y;margin-left:72pt;margin-top:23.4pt;height:46.8pt;width:0pt;z-index:251678720;mso-width-relative:page;mso-height-relative:page;" coordsize="21600,21600">
            <v:path arrowok="t"/>
            <v:fill focussize="0,0"/>
            <v:stroke endarrow="block"/>
            <v:imagedata o:title=""/>
            <o:lock v:ext="edit"/>
          </v:line>
        </w:pict>
      </w:r>
    </w:p>
    <w:p w14:paraId="4AE73903">
      <w:pPr>
        <w:spacing w:line="500" w:lineRule="exact"/>
        <w:ind w:firstLine="560" w:firstLineChars="200"/>
        <w:rPr>
          <w:color w:val="000000"/>
          <w:sz w:val="28"/>
          <w:szCs w:val="28"/>
        </w:rPr>
      </w:pPr>
      <w:r>
        <w:rPr>
          <w:color w:val="000000"/>
          <w:sz w:val="28"/>
          <w:szCs w:val="28"/>
        </w:rPr>
        <w:pict>
          <v:line id="_x0000_s2121" o:spid="_x0000_s2121" o:spt="20" style="position:absolute;left:0pt;margin-left:45pt;margin-top:21.8pt;height:0pt;width:54pt;z-index:251683840;mso-width-relative:page;mso-height-relative:page;" coordsize="21600,21600">
            <v:path arrowok="t"/>
            <v:fill focussize="0,0"/>
            <v:stroke/>
            <v:imagedata o:title=""/>
            <o:lock v:ext="edit"/>
          </v:line>
        </w:pict>
      </w:r>
    </w:p>
    <w:p w14:paraId="1605E729">
      <w:pPr>
        <w:spacing w:line="500" w:lineRule="exact"/>
        <w:ind w:firstLine="560" w:firstLineChars="200"/>
        <w:rPr>
          <w:color w:val="000000"/>
          <w:sz w:val="28"/>
          <w:szCs w:val="28"/>
        </w:rPr>
      </w:pPr>
      <w:r>
        <w:rPr>
          <w:color w:val="000000"/>
          <w:sz w:val="28"/>
          <w:szCs w:val="28"/>
        </w:rPr>
        <w:pict>
          <v:shape id="_x0000_s2122" o:spid="_x0000_s2122" o:spt="136" type="#_x0000_t136" style="position:absolute;left:0pt;margin-left:225pt;margin-top:20.2pt;height:12.1pt;width:24.05pt;z-index:251669504;mso-width-relative:page;mso-height-relative:page;" coordsize="21600,21600">
            <v:path/>
            <v:fill focussize="0,0"/>
            <v:stroke/>
            <v:imagedata o:title=""/>
            <o:lock v:ext="edit"/>
            <v:textpath on="t" fitshape="t" fitpath="t" trim="t" xscale="f" string="公路" style="font-family:宋体;font-size:12pt;v-text-align:center;"/>
          </v:shape>
        </w:pict>
      </w:r>
      <w:r>
        <w:rPr>
          <w:color w:val="000000"/>
          <w:sz w:val="28"/>
          <w:szCs w:val="28"/>
        </w:rPr>
        <w:pict>
          <v:line id="_x0000_s2123" o:spid="_x0000_s2123" o:spt="20" style="position:absolute;left:0pt;flip:x;margin-left:126pt;margin-top:12.4pt;height:0pt;width:225pt;z-index:251667456;mso-width-relative:page;mso-height-relative:page;" coordsize="21600,21600">
            <v:path arrowok="t"/>
            <v:fill focussize="0,0"/>
            <v:stroke/>
            <v:imagedata o:title=""/>
            <o:lock v:ext="edit"/>
          </v:line>
        </w:pict>
      </w:r>
    </w:p>
    <w:p w14:paraId="3FB895E3">
      <w:pPr>
        <w:spacing w:line="500" w:lineRule="exact"/>
        <w:ind w:firstLine="560" w:firstLineChars="200"/>
        <w:rPr>
          <w:color w:val="000000"/>
          <w:sz w:val="28"/>
          <w:szCs w:val="28"/>
        </w:rPr>
      </w:pPr>
      <w:r>
        <w:rPr>
          <w:color w:val="000000"/>
          <w:sz w:val="28"/>
          <w:szCs w:val="28"/>
        </w:rPr>
        <w:pict>
          <v:shape id="_x0000_s2124" o:spid="_x0000_s2124" o:spt="32" type="#_x0000_t32" style="position:absolute;left:0pt;margin-left:261pt;margin-top:0.85pt;height:0pt;width:36pt;mso-position-vertical-relative:line;z-index:251697152;mso-width-relative:page;mso-height-relative:page;" o:connectortype="straight" filled="f" coordsize="21600,21600">
            <v:path arrowok="t"/>
            <v:fill on="f" focussize="0,0"/>
            <v:stroke endarrow="block"/>
            <v:imagedata o:title=""/>
            <o:lock v:ext="edit"/>
            <o:callout minusx="t" minusy="t"/>
          </v:shape>
        </w:pict>
      </w:r>
      <w:r>
        <w:rPr>
          <w:color w:val="000000"/>
          <w:sz w:val="28"/>
          <w:szCs w:val="28"/>
        </w:rPr>
        <w:pict>
          <v:shape id="_x0000_s2125" o:spid="_x0000_s2125" o:spt="32" type="#_x0000_t32" style="position:absolute;left:0pt;flip:x;margin-left:171.75pt;margin-top:0.85pt;height:0pt;width:44.25pt;mso-position-vertical-relative:line;z-index:251698176;mso-width-relative:page;mso-height-relative:page;" o:connectortype="straight" filled="f" coordsize="21600,21600">
            <v:path arrowok="t"/>
            <v:fill on="f" focussize="0,0"/>
            <v:stroke endarrow="block"/>
            <v:imagedata o:title=""/>
            <o:lock v:ext="edit"/>
            <o:callout minusx="t" minusy="t"/>
          </v:shape>
        </w:pict>
      </w:r>
      <w:r>
        <w:rPr>
          <w:color w:val="000000"/>
          <w:sz w:val="28"/>
          <w:szCs w:val="28"/>
        </w:rPr>
        <w:pict>
          <v:shape id="_x0000_s2126" o:spid="_x0000_s2126" o:spt="32" type="#_x0000_t32" style="position:absolute;left:0pt;flip:x;margin-left:146.35pt;margin-top:0.8pt;height:0.05pt;width:67.4pt;mso-position-vertical-relative:line;z-index:251696128;mso-width-relative:page;mso-height-relative:page;" o:connectortype="straight" filled="f" stroked="f" coordsize="21600,21600">
            <v:path arrowok="t"/>
            <v:fill on="f" focussize="0,0"/>
            <v:stroke on="f" endarrow="block"/>
            <v:imagedata o:title=""/>
            <o:lock v:ext="edit"/>
            <o:callout minusx="t" minusy="t"/>
          </v:shape>
        </w:pict>
      </w:r>
      <w:r>
        <w:rPr>
          <w:color w:val="000000"/>
          <w:sz w:val="28"/>
          <w:szCs w:val="28"/>
        </w:rPr>
        <w:pict>
          <v:shape id="_x0000_s2127" o:spid="_x0000_s2127" o:spt="32" type="#_x0000_t32" style="position:absolute;left:0pt;flip:x;margin-left:180pt;margin-top:0.8pt;height:0pt;width:45pt;mso-position-vertical-relative:line;z-index:251695104;mso-width-relative:page;mso-height-relative:page;" o:connectortype="straight" filled="f" stroked="f" coordsize="21600,21600">
            <v:path arrowok="t"/>
            <v:fill on="f" focussize="0,0"/>
            <v:stroke on="f" endarrow="block"/>
            <v:imagedata o:title=""/>
            <o:lock v:ext="edit"/>
            <o:callout minusx="t" minusy="t"/>
          </v:shape>
        </w:pict>
      </w:r>
      <w:r>
        <w:rPr>
          <w:color w:val="000000"/>
          <w:sz w:val="28"/>
          <w:szCs w:val="28"/>
        </w:rPr>
        <w:pict>
          <v:line id="_x0000_s2128" o:spid="_x0000_s2128" o:spt="20" style="position:absolute;left:0pt;flip:y;margin-left:216pt;margin-top:18.6pt;height:39pt;width:0pt;z-index:251676672;mso-width-relative:page;mso-height-relative:page;" coordsize="21600,21600">
            <v:path arrowok="t"/>
            <v:fill focussize="0,0"/>
            <v:stroke endarrow="block"/>
            <v:imagedata o:title=""/>
            <o:lock v:ext="edit"/>
          </v:line>
        </w:pict>
      </w:r>
      <w:r>
        <w:rPr>
          <w:color w:val="000000"/>
          <w:sz w:val="28"/>
          <w:szCs w:val="28"/>
        </w:rPr>
        <w:pict>
          <v:line id="_x0000_s2129" o:spid="_x0000_s2129" o:spt="20" style="position:absolute;left:0pt;flip:x;margin-left:117pt;margin-top:18.6pt;height:0pt;width:225pt;z-index:251668480;mso-width-relative:page;mso-height-relative:page;" coordsize="21600,21600">
            <v:path arrowok="t"/>
            <v:fill focussize="0,0"/>
            <v:stroke/>
            <v:imagedata o:title=""/>
            <o:lock v:ext="edit"/>
          </v:line>
        </w:pict>
      </w:r>
    </w:p>
    <w:p w14:paraId="4FBE7F0C">
      <w:pPr>
        <w:spacing w:line="500" w:lineRule="exact"/>
        <w:ind w:firstLine="560" w:firstLineChars="200"/>
        <w:rPr>
          <w:color w:val="000000"/>
          <w:sz w:val="28"/>
          <w:szCs w:val="28"/>
        </w:rPr>
      </w:pPr>
      <w:r>
        <w:rPr>
          <w:color w:val="000000"/>
          <w:sz w:val="28"/>
          <w:szCs w:val="28"/>
        </w:rPr>
        <w:pict>
          <v:shape id="_x0000_s2130" o:spid="_x0000_s2130" o:spt="32" type="#_x0000_t32" style="position:absolute;left:0pt;margin-left:76.95pt;margin-top:3.7pt;height:161.65pt;width:27.95pt;mso-position-vertical-relative:line;z-index:251687936;mso-width-relative:page;mso-height-relative:page;" o:connectortype="straight" filled="f" coordsize="21600,21600">
            <v:path arrowok="t"/>
            <v:fill on="f" focussize="0,0"/>
            <v:stroke/>
            <v:imagedata o:title=""/>
            <o:lock v:ext="edit"/>
            <o:callout minusx="t" minusy="t"/>
          </v:shape>
        </w:pict>
      </w:r>
      <w:r>
        <w:rPr>
          <w:color w:val="000000"/>
          <w:sz w:val="28"/>
          <w:szCs w:val="28"/>
        </w:rPr>
        <w:pict>
          <v:shape id="_x0000_s2131" o:spid="_x0000_s2131" o:spt="32" type="#_x0000_t32" style="position:absolute;left:0pt;margin-left:105.05pt;margin-top:24.8pt;height:148.25pt;width:0pt;mso-position-vertical-relative:line;z-index:251686912;mso-width-relative:page;mso-height-relative:page;" o:connectortype="straight" filled="f" stroked="f" coordsize="21600,21600">
            <v:path arrowok="t"/>
            <v:fill on="f" focussize="0,0"/>
            <v:stroke on="f"/>
            <v:imagedata o:title=""/>
            <o:lock v:ext="edit"/>
            <o:callout minusx="t" minusy="t"/>
          </v:shape>
        </w:pict>
      </w:r>
      <w:r>
        <w:rPr>
          <w:color w:val="000000"/>
          <w:sz w:val="28"/>
          <w:szCs w:val="28"/>
        </w:rPr>
        <w:pict>
          <v:shape id="_x0000_s2132" o:spid="_x0000_s2132" o:spt="136" type="#_x0000_t136" style="position:absolute;left:0pt;margin-left:216pt;margin-top:9.2pt;height:12.1pt;width:24.05pt;z-index:251677696;mso-width-relative:page;mso-height-relative:page;" fillcolor="#FFFFFF" filled="t" stroked="t" coordsize="21600,21600" adj="10800">
            <v:path/>
            <v:fill on="t" color2="#FFFFFF" focussize="0,0"/>
            <v:stroke color="#000000"/>
            <v:imagedata o:title=""/>
            <o:lock v:ext="edit" aspectratio="f"/>
            <v:textpath on="t" fitshape="t" fitpath="t" trim="t" xscale="f" string="7.8m" style="font-family:宋体;font-size:12pt;v-text-align:center;"/>
          </v:shape>
        </w:pict>
      </w:r>
    </w:p>
    <w:p w14:paraId="06D4B858">
      <w:pPr>
        <w:spacing w:line="500" w:lineRule="exact"/>
        <w:ind w:firstLine="560" w:firstLineChars="200"/>
        <w:rPr>
          <w:color w:val="000000"/>
          <w:sz w:val="28"/>
          <w:szCs w:val="28"/>
        </w:rPr>
      </w:pPr>
      <w:r>
        <w:rPr>
          <w:color w:val="000000"/>
          <w:sz w:val="28"/>
          <w:szCs w:val="28"/>
        </w:rPr>
        <w:pict>
          <v:rect id="_x0000_s2137" o:spid="_x0000_s2137" o:spt="1" style="position:absolute;left:0pt;margin-left:161.5pt;margin-top:22.6pt;height:42.95pt;width:55.95pt;z-index:251670528;mso-width-relative:page;mso-height-relative:page;" fillcolor="#FFFFFF" filled="t" stroked="t" coordsize="21600,21600">
            <v:path/>
            <v:fill on="t" color2="#FFFFFF" focussize="0,0"/>
            <v:stroke color="#000000" joinstyle="miter"/>
            <v:imagedata o:title=""/>
            <o:lock v:ext="edit" aspectratio="f"/>
          </v:rect>
        </w:pict>
      </w:r>
      <w:r>
        <w:rPr>
          <w:sz w:val="28"/>
        </w:rPr>
        <w:pict>
          <v:line id="_x0000_s2245" o:spid="_x0000_s2245" o:spt="20" style="position:absolute;left:0pt;margin-left:220.4pt;margin-top:17.5pt;height:13pt;width:134pt;z-index:251660288;mso-width-relative:page;mso-height-relative:page;" fillcolor="#FFFFFF" filled="t" stroked="t" coordsize="21600,21600">
            <v:path arrowok="t"/>
            <v:fill on="t" color2="#FFFFFF" focussize="0,0"/>
            <v:stroke color="#000000" endarrow="open"/>
            <v:imagedata o:title=""/>
            <o:lock v:ext="edit" aspectratio="f"/>
          </v:line>
        </w:pict>
      </w:r>
      <w:r>
        <w:rPr>
          <w:sz w:val="28"/>
        </w:rPr>
        <w:pict>
          <v:rect id="_x0000_s2244" o:spid="_x0000_s2244" o:spt="1" style="position:absolute;left:0pt;margin-left:354.9pt;margin-top:24.5pt;height:35.55pt;width:44.5pt;z-index:251660288;mso-width-relative:page;mso-height-relative:page;" fillcolor="#FFFFFF" filled="t" stroked="t" coordsize="21600,21600">
            <v:path/>
            <v:fill on="t" color2="#FFFFFF" focussize="0,0"/>
            <v:stroke color="#000000"/>
            <v:imagedata o:title=""/>
            <o:lock v:ext="edit" aspectratio="f"/>
            <v:textbox>
              <w:txbxContent>
                <w:p w14:paraId="38663134">
                  <w:pPr>
                    <w:rPr>
                      <w:rFonts w:hint="eastAsia" w:eastAsia="宋体"/>
                      <w:lang w:val="en-US" w:eastAsia="zh-CN"/>
                    </w:rPr>
                  </w:pPr>
                  <w:r>
                    <w:rPr>
                      <w:rFonts w:hint="eastAsia"/>
                      <w:lang w:val="en-US" w:eastAsia="zh-CN"/>
                    </w:rPr>
                    <w:t>民房</w:t>
                  </w:r>
                </w:p>
              </w:txbxContent>
            </v:textbox>
          </v:rect>
        </w:pict>
      </w:r>
      <w:r>
        <w:rPr>
          <w:color w:val="000000"/>
          <w:sz w:val="28"/>
          <w:szCs w:val="28"/>
        </w:rPr>
        <w:pict>
          <v:shape id="_x0000_s2136" o:spid="_x0000_s2136" o:spt="32" type="#_x0000_t32" style="position:absolute;left:0pt;flip:x y;margin-left:345.1pt;margin-top:7.6pt;height:132.8pt;width:5.9pt;mso-position-vertical-relative:line;z-index:251694080;mso-width-relative:page;mso-height-relative:page;" o:connectortype="straight" filled="f" coordsize="21600,21600">
            <v:path arrowok="t"/>
            <v:fill on="f" focussize="0,0"/>
            <v:stroke/>
            <v:imagedata o:title=""/>
            <o:lock v:ext="edit"/>
            <o:callout minusx="t" minusy="t"/>
          </v:shape>
        </w:pict>
      </w:r>
    </w:p>
    <w:p w14:paraId="7C4D0216">
      <w:pPr>
        <w:spacing w:line="500" w:lineRule="exact"/>
        <w:ind w:firstLine="560" w:firstLineChars="200"/>
        <w:rPr>
          <w:color w:val="000000"/>
          <w:sz w:val="28"/>
          <w:szCs w:val="28"/>
        </w:rPr>
      </w:pPr>
      <w:r>
        <w:rPr>
          <w:color w:val="000000"/>
          <w:sz w:val="28"/>
          <w:szCs w:val="28"/>
        </w:rPr>
        <w:pict>
          <v:shape id="_x0000_s2141" o:spid="_x0000_s2141" o:spt="32" type="#_x0000_t32" style="position:absolute;left:0pt;flip:y;margin-left:285.5pt;margin-top:16.5pt;height:8.65pt;width:68.9pt;mso-position-vertical-relative:line;z-index:251685888;mso-width-relative:page;mso-height-relative:page;" filled="f" stroked="t" coordsize="21600,21600">
            <v:path arrowok="t"/>
            <v:fill on="f" focussize="0,0"/>
            <v:stroke color="#000000" endarrow="block"/>
            <v:imagedata o:title=""/>
            <o:lock v:ext="edit" aspectratio="f"/>
          </v:shape>
        </w:pict>
      </w:r>
      <w:r>
        <w:rPr>
          <w:color w:val="000000"/>
          <w:sz w:val="28"/>
          <w:szCs w:val="28"/>
        </w:rPr>
        <w:pict>
          <v:shape id="_x0000_s2143" o:spid="_x0000_s2143" o:spt="136" type="#_x0000_t136" style="position:absolute;left:0pt;margin-left:244.5pt;margin-top:18.4pt;height:8.25pt;width:24.75pt;z-index:251675648;mso-width-relative:page;mso-height-relative:page;" coordsize="21600,21600">
            <v:path/>
            <v:fill focussize="0,0"/>
            <v:stroke/>
            <v:imagedata o:title=""/>
            <o:lock v:ext="edit"/>
            <v:textpath on="t" fitshape="t" fitpath="t" trim="t" xscale="f" string="油罐区" style="font-family:宋体;font-size:8pt;v-text-align:center;"/>
          </v:shape>
        </w:pict>
      </w:r>
      <w:r>
        <w:rPr>
          <w:color w:val="000000"/>
          <w:sz w:val="28"/>
          <w:szCs w:val="28"/>
        </w:rPr>
        <w:pict>
          <v:rect id="_x0000_s2142" o:spid="_x0000_s2142" o:spt="1" style="position:absolute;left:0pt;margin-left:229.5pt;margin-top:6.6pt;height:31.2pt;width:54pt;z-index:251674624;mso-width-relative:page;mso-height-relative:page;" coordsize="21600,21600">
            <v:path/>
            <v:fill focussize="0,0"/>
            <v:stroke/>
            <v:imagedata o:title=""/>
            <o:lock v:ext="edit"/>
          </v:rect>
        </w:pict>
      </w:r>
      <w:r>
        <w:rPr>
          <w:color w:val="000000"/>
          <w:sz w:val="28"/>
          <w:szCs w:val="28"/>
        </w:rPr>
        <w:pict>
          <v:shape id="_x0000_s2139" o:spid="_x0000_s2139" o:spt="136" type="#_x0000_t136" style="position:absolute;left:0pt;margin-left:189pt;margin-top:6pt;height:8.25pt;width:24.75pt;z-index:251671552;mso-width-relative:page;mso-height-relative:page;" coordsize="21600,21600">
            <v:path/>
            <v:fill focussize="0,0"/>
            <v:stroke/>
            <v:imagedata o:title=""/>
            <o:lock v:ext="edit"/>
            <v:textpath on="t" fitshape="t" fitpath="t" trim="t" xscale="f" string="加油区" style="font-family:宋体;font-size:8pt;v-text-align:center;"/>
          </v:shape>
        </w:pict>
      </w:r>
    </w:p>
    <w:p w14:paraId="13C6CA3F">
      <w:pPr>
        <w:spacing w:line="500" w:lineRule="exact"/>
        <w:ind w:firstLine="560" w:firstLineChars="200"/>
        <w:rPr>
          <w:color w:val="000000"/>
          <w:sz w:val="28"/>
          <w:szCs w:val="28"/>
        </w:rPr>
      </w:pPr>
      <w:r>
        <w:rPr>
          <w:color w:val="000000"/>
          <w:sz w:val="28"/>
          <w:szCs w:val="28"/>
        </w:rPr>
        <w:pict>
          <v:shape id="_x0000_s2140" o:spid="_x0000_s2140" o:spt="136" type="#_x0000_t136" style="position:absolute;left:0pt;margin-left:65.95pt;margin-top:10.6pt;height:12.1pt;width:24.05pt;z-index:251684864;mso-width-relative:page;mso-height-relative:page;" coordsize="21600,21600">
            <v:path/>
            <v:fill focussize="0,0"/>
            <v:stroke/>
            <v:imagedata o:title=""/>
            <o:lock v:ext="edit"/>
            <v:textpath on="t" fitshape="t" fitpath="t" trim="t" xscale="f" string="空地" style="font-family:宋体;font-size:12pt;v-text-align:center;"/>
          </v:shape>
        </w:pict>
      </w:r>
    </w:p>
    <w:p w14:paraId="287A4019">
      <w:pPr>
        <w:spacing w:line="500" w:lineRule="exact"/>
        <w:ind w:firstLine="560" w:firstLineChars="200"/>
        <w:rPr>
          <w:color w:val="000000"/>
          <w:sz w:val="28"/>
          <w:szCs w:val="28"/>
        </w:rPr>
      </w:pPr>
      <w:r>
        <w:rPr>
          <w:color w:val="000000"/>
          <w:sz w:val="28"/>
          <w:szCs w:val="28"/>
        </w:rPr>
        <w:pict>
          <v:rect id="_x0000_s2144" o:spid="_x0000_s2144" o:spt="1" style="position:absolute;left:0pt;margin-left:126pt;margin-top:18.4pt;height:39pt;width:99pt;z-index:251672576;mso-width-relative:page;mso-height-relative:page;" coordsize="21600,21600">
            <v:path/>
            <v:fill focussize="0,0"/>
            <v:stroke/>
            <v:imagedata o:title=""/>
            <o:lock v:ext="edit"/>
          </v:rect>
        </w:pict>
      </w:r>
    </w:p>
    <w:p w14:paraId="688E2562">
      <w:pPr>
        <w:spacing w:line="500" w:lineRule="exact"/>
        <w:ind w:firstLine="560" w:firstLineChars="200"/>
        <w:rPr>
          <w:color w:val="000000"/>
          <w:sz w:val="28"/>
          <w:szCs w:val="28"/>
        </w:rPr>
      </w:pPr>
      <w:r>
        <w:rPr>
          <w:color w:val="000000"/>
          <w:sz w:val="28"/>
          <w:szCs w:val="28"/>
        </w:rPr>
        <w:pict>
          <v:shape id="_x0000_s2145" o:spid="_x0000_s2145" o:spt="136" type="#_x0000_t136" style="position:absolute;left:0pt;margin-left:180pt;margin-top:16.8pt;height:8.25pt;width:24.75pt;z-index:251673600;mso-width-relative:page;mso-height-relative:page;" coordsize="21600,21600">
            <v:path/>
            <v:fill focussize="0,0"/>
            <v:stroke/>
            <v:imagedata o:title=""/>
            <o:lock v:ext="edit"/>
            <v:textpath on="t" fitshape="t" fitpath="t" trim="t" xscale="f" string="站房" style="font-family:宋体;font-size:8pt;v-text-align:center;"/>
          </v:shape>
        </w:pict>
      </w:r>
    </w:p>
    <w:p w14:paraId="3E9995E2">
      <w:pPr>
        <w:ind w:firstLine="560" w:firstLineChars="200"/>
        <w:jc w:val="center"/>
        <w:rPr>
          <w:rFonts w:ascii="宋体" w:hAnsi="宋体"/>
          <w:color w:val="000000"/>
          <w:sz w:val="28"/>
          <w:szCs w:val="28"/>
        </w:rPr>
      </w:pPr>
      <w:r>
        <w:rPr>
          <w:rFonts w:ascii="宋体" w:hAnsi="宋体"/>
          <w:color w:val="000000"/>
          <w:sz w:val="28"/>
          <w:szCs w:val="28"/>
        </w:rPr>
        <w:pict>
          <v:line id="_x0000_s2146" o:spid="_x0000_s2146" o:spt="20" style="position:absolute;left:0pt;margin-left:104.9pt;margin-top:15.4pt;height:0pt;width:245.95pt;z-index:251693056;mso-width-relative:page;mso-height-relative:page;" coordsize="21600,21600">
            <v:path arrowok="t"/>
            <v:fill focussize="0,0"/>
            <v:stroke/>
            <v:imagedata o:title=""/>
            <o:lock v:ext="edit"/>
          </v:line>
        </w:pict>
      </w:r>
      <w:r>
        <w:rPr>
          <w:rFonts w:ascii="宋体" w:hAnsi="宋体"/>
          <w:color w:val="000000"/>
          <w:sz w:val="28"/>
          <w:szCs w:val="28"/>
        </w:rPr>
        <w:pict>
          <v:shape id="_x0000_s2147" o:spid="_x0000_s2147" o:spt="32" type="#_x0000_t32" style="position:absolute;left:0pt;flip:y;margin-left:117pt;margin-top:15.2pt;height:7.85pt;width:225pt;mso-position-vertical-relative:line;z-index:251692032;mso-width-relative:page;mso-height-relative:page;" o:connectortype="straight" filled="f" stroked="f" coordsize="21600,21600">
            <v:path arrowok="t"/>
            <v:fill on="f" focussize="0,0"/>
            <v:stroke on="f"/>
            <v:imagedata o:title=""/>
            <o:lock v:ext="edit"/>
            <o:callout minusx="t" minusy="t"/>
          </v:shape>
        </w:pict>
      </w:r>
      <w:r>
        <w:rPr>
          <w:rFonts w:ascii="宋体" w:hAnsi="宋体"/>
          <w:color w:val="000000"/>
          <w:sz w:val="28"/>
          <w:szCs w:val="28"/>
        </w:rPr>
        <w:pict>
          <v:shape id="_x0000_s2148" o:spid="_x0000_s2148" o:spt="32" type="#_x0000_t32" style="position:absolute;left:0pt;flip:y;margin-left:105.05pt;margin-top:15.2pt;height:0.2pt;width:236.95pt;mso-position-vertical-relative:line;z-index:251691008;mso-width-relative:page;mso-height-relative:page;" o:connectortype="straight" filled="f" stroked="f" coordsize="21600,21600">
            <v:path arrowok="t"/>
            <v:fill on="f" focussize="0,0"/>
            <v:stroke on="f"/>
            <v:imagedata o:title=""/>
            <o:lock v:ext="edit"/>
            <o:callout minusx="t" minusy="t"/>
          </v:shape>
        </w:pict>
      </w:r>
      <w:r>
        <w:rPr>
          <w:rFonts w:ascii="宋体" w:hAnsi="宋体"/>
          <w:color w:val="000000"/>
          <w:sz w:val="28"/>
          <w:szCs w:val="28"/>
        </w:rPr>
        <w:pict>
          <v:shape id="_x0000_s2149" o:spid="_x0000_s2149" o:spt="32" type="#_x0000_t32" style="position:absolute;left:0pt;margin-left:104.9pt;margin-top:15.2pt;height:0pt;width:231.2pt;mso-position-vertical-relative:line;z-index:251689984;mso-width-relative:page;mso-height-relative:page;" o:connectortype="straight" filled="f" stroked="f" coordsize="21600,21600">
            <v:path arrowok="t"/>
            <v:fill on="f" focussize="0,0"/>
            <v:stroke on="f"/>
            <v:imagedata o:title=""/>
            <o:lock v:ext="edit"/>
            <o:callout minusx="t" minusy="t"/>
          </v:shape>
        </w:pict>
      </w:r>
      <w:r>
        <w:rPr>
          <w:rFonts w:ascii="宋体" w:hAnsi="宋体"/>
          <w:color w:val="000000"/>
          <w:sz w:val="28"/>
          <w:szCs w:val="28"/>
        </w:rPr>
        <w:pict>
          <v:shape id="_x0000_s2150" o:spid="_x0000_s2150" o:spt="32" type="#_x0000_t32" style="position:absolute;left:0pt;margin-left:105.05pt;margin-top:15.35pt;height:0.05pt;width:225.05pt;mso-position-vertical-relative:line;z-index:251688960;mso-width-relative:page;mso-height-relative:page;" o:connectortype="straight" filled="f" stroked="f" coordsize="21600,21600">
            <v:path arrowok="t"/>
            <v:fill on="f" focussize="0,0"/>
            <v:stroke on="f"/>
            <v:imagedata o:title=""/>
            <o:lock v:ext="edit"/>
            <o:callout minusx="t" minusy="t"/>
          </v:shape>
        </w:pict>
      </w:r>
    </w:p>
    <w:p w14:paraId="268CC3A7">
      <w:pPr>
        <w:ind w:firstLine="560" w:firstLineChars="200"/>
        <w:jc w:val="center"/>
        <w:rPr>
          <w:rFonts w:ascii="宋体" w:hAnsi="宋体"/>
          <w:color w:val="000000"/>
          <w:sz w:val="28"/>
          <w:szCs w:val="28"/>
        </w:rPr>
      </w:pPr>
      <w:r>
        <w:rPr>
          <w:rFonts w:ascii="宋体" w:hAnsi="宋体"/>
          <w:color w:val="000000"/>
          <w:sz w:val="28"/>
          <w:szCs w:val="28"/>
        </w:rPr>
        <w:pict>
          <v:line id="_x0000_s2151" o:spid="_x0000_s2151" o:spt="20" style="position:absolute;left:0pt;margin-left:89.85pt;margin-top:7.6pt;height:0pt;width:261pt;z-index:251680768;mso-width-relative:page;mso-height-relative:page;" coordsize="21600,21600">
            <v:path arrowok="t"/>
            <v:fill focussize="0,0"/>
            <v:stroke/>
            <v:imagedata o:title=""/>
            <o:lock v:ext="edit"/>
          </v:line>
        </w:pict>
      </w:r>
      <w:r>
        <w:rPr>
          <w:color w:val="000000"/>
          <w:sz w:val="28"/>
          <w:szCs w:val="28"/>
        </w:rPr>
        <w:pict>
          <v:shape id="_x0000_s2152" o:spid="_x0000_s2152" o:spt="136" type="#_x0000_t136" style="position:absolute;left:0pt;margin-left:180pt;margin-top:15.2pt;height:12.1pt;width:24.05pt;z-index:251682816;mso-width-relative:page;mso-height-relative:page;" fillcolor="#FFFFFF" filled="t" stroked="t" coordsize="21600,21600" adj="10800">
            <v:path/>
            <v:fill on="t" color2="#FFFFFF" focussize="0,0"/>
            <v:stroke color="#000000"/>
            <v:imagedata o:title=""/>
            <o:lock v:ext="edit" aspectratio="f"/>
            <v:textpath on="t" fitshape="t" fitpath="t" trim="t" xscale="f" string="大关河" style="font-family:宋体;font-size:12pt;v-text-align:center;"/>
          </v:shape>
        </w:pict>
      </w:r>
    </w:p>
    <w:p w14:paraId="4846B054">
      <w:pPr>
        <w:ind w:firstLine="560" w:firstLineChars="200"/>
        <w:jc w:val="center"/>
        <w:rPr>
          <w:rFonts w:ascii="宋体" w:hAnsi="宋体"/>
          <w:color w:val="000000"/>
          <w:sz w:val="28"/>
          <w:szCs w:val="28"/>
        </w:rPr>
      </w:pPr>
      <w:r>
        <w:rPr>
          <w:rFonts w:ascii="宋体" w:hAnsi="宋体"/>
          <w:color w:val="000000"/>
          <w:sz w:val="28"/>
          <w:szCs w:val="28"/>
        </w:rPr>
        <w:pict>
          <v:line id="_x0000_s2153" o:spid="_x0000_s2153" o:spt="20" style="position:absolute;left:0pt;margin-left:81pt;margin-top:7.4pt;height:0pt;width:279pt;z-index:251681792;mso-width-relative:page;mso-height-relative:page;" coordsize="21600,21600">
            <v:path arrowok="t"/>
            <v:fill focussize="0,0"/>
            <v:stroke/>
            <v:imagedata o:title=""/>
            <o:lock v:ext="edit"/>
          </v:line>
        </w:pict>
      </w:r>
    </w:p>
    <w:p w14:paraId="3D9B2B14">
      <w:pPr>
        <w:ind w:firstLine="560" w:firstLineChars="200"/>
        <w:jc w:val="center"/>
        <w:rPr>
          <w:rFonts w:ascii="宋体" w:hAnsi="宋体"/>
          <w:b/>
          <w:bCs/>
          <w:sz w:val="28"/>
          <w:szCs w:val="28"/>
        </w:rPr>
      </w:pPr>
      <w:r>
        <w:rPr>
          <w:rFonts w:hint="eastAsia" w:ascii="宋体" w:hAnsi="宋体"/>
          <w:color w:val="000000"/>
          <w:sz w:val="28"/>
          <w:szCs w:val="28"/>
        </w:rPr>
        <w:t>图2-2</w:t>
      </w:r>
      <w:r>
        <w:rPr>
          <w:rFonts w:hint="eastAsia" w:ascii="宋体" w:hAnsi="宋体"/>
          <w:b/>
          <w:bCs/>
          <w:sz w:val="28"/>
          <w:szCs w:val="28"/>
        </w:rPr>
        <w:t>加油站区域位置图</w:t>
      </w:r>
    </w:p>
    <w:p w14:paraId="4659AF6A">
      <w:pPr>
        <w:spacing w:line="500" w:lineRule="exact"/>
        <w:ind w:firstLine="560" w:firstLineChars="200"/>
        <w:rPr>
          <w:rFonts w:ascii="宋体" w:hAnsi="宋体"/>
          <w:color w:val="000000"/>
          <w:sz w:val="28"/>
          <w:szCs w:val="28"/>
        </w:rPr>
      </w:pPr>
      <w:r>
        <w:rPr>
          <w:rFonts w:hint="eastAsia" w:ascii="宋体" w:hAnsi="宋体"/>
          <w:color w:val="000000"/>
          <w:sz w:val="28"/>
        </w:rPr>
        <w:t>该加油站站址周边没有湖泊、重要公共建筑物和</w:t>
      </w:r>
      <w:r>
        <w:rPr>
          <w:rFonts w:hint="eastAsia" w:ascii="宋体" w:hAnsi="宋体"/>
          <w:sz w:val="28"/>
        </w:rPr>
        <w:t>一类、二类保</w:t>
      </w:r>
      <w:r>
        <w:rPr>
          <w:rFonts w:hint="eastAsia" w:ascii="宋体" w:hAnsi="宋体"/>
          <w:color w:val="000000"/>
          <w:sz w:val="28"/>
        </w:rPr>
        <w:t>护建筑物，没有矿山，无散发火花的场所和其他工业设施等设施。</w:t>
      </w:r>
    </w:p>
    <w:p w14:paraId="651C89BE">
      <w:pPr>
        <w:pStyle w:val="50"/>
        <w:rPr>
          <w:snapToGrid w:val="0"/>
          <w:color w:val="auto"/>
          <w:kern w:val="0"/>
        </w:rPr>
      </w:pPr>
      <w:r>
        <w:rPr>
          <w:snapToGrid w:val="0"/>
          <w:color w:val="auto"/>
          <w:kern w:val="0"/>
        </w:rPr>
        <w:t>表2-</w:t>
      </w:r>
      <w:r>
        <w:rPr>
          <w:rFonts w:hint="eastAsia"/>
          <w:snapToGrid w:val="0"/>
          <w:color w:val="auto"/>
          <w:kern w:val="0"/>
        </w:rPr>
        <w:t>2  汽油设备与站外建构筑物的防火距离一览表</w:t>
      </w:r>
    </w:p>
    <w:tbl>
      <w:tblPr>
        <w:tblStyle w:val="33"/>
        <w:tblW w:w="7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57"/>
        <w:gridCol w:w="934"/>
        <w:gridCol w:w="849"/>
        <w:gridCol w:w="1411"/>
        <w:gridCol w:w="1217"/>
        <w:gridCol w:w="1170"/>
      </w:tblGrid>
      <w:tr w14:paraId="28A0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4" w:hRule="atLeast"/>
          <w:jc w:val="center"/>
        </w:trPr>
        <w:tc>
          <w:tcPr>
            <w:tcW w:w="773" w:type="dxa"/>
            <w:vMerge w:val="restart"/>
            <w:vAlign w:val="center"/>
          </w:tcPr>
          <w:p w14:paraId="4933797F">
            <w:pPr>
              <w:pStyle w:val="11"/>
              <w:spacing w:line="300" w:lineRule="exact"/>
              <w:ind w:firstLine="0" w:firstLineChars="0"/>
              <w:jc w:val="center"/>
              <w:rPr>
                <w:rFonts w:ascii="宋体" w:hAnsi="宋体"/>
                <w:sz w:val="21"/>
                <w:szCs w:val="21"/>
              </w:rPr>
            </w:pPr>
            <w:bookmarkStart w:id="93" w:name="_Hlk38017627"/>
            <w:r>
              <w:rPr>
                <w:rFonts w:hint="eastAsia" w:ascii="宋体" w:hAnsi="宋体"/>
                <w:sz w:val="21"/>
                <w:szCs w:val="21"/>
              </w:rPr>
              <w:t>序号</w:t>
            </w:r>
          </w:p>
        </w:tc>
        <w:tc>
          <w:tcPr>
            <w:tcW w:w="1157" w:type="dxa"/>
            <w:vMerge w:val="restart"/>
            <w:vAlign w:val="center"/>
          </w:tcPr>
          <w:p w14:paraId="11D8C4A0">
            <w:pPr>
              <w:pStyle w:val="11"/>
              <w:spacing w:line="300" w:lineRule="exact"/>
              <w:ind w:firstLine="0" w:firstLineChars="0"/>
              <w:jc w:val="center"/>
              <w:rPr>
                <w:rFonts w:ascii="宋体" w:hAnsi="宋体"/>
                <w:sz w:val="21"/>
                <w:szCs w:val="21"/>
              </w:rPr>
            </w:pPr>
            <w:r>
              <w:rPr>
                <w:rFonts w:hint="eastAsia" w:ascii="宋体" w:hAnsi="宋体"/>
                <w:sz w:val="21"/>
                <w:szCs w:val="21"/>
              </w:rPr>
              <w:t>工艺设施</w:t>
            </w:r>
          </w:p>
        </w:tc>
        <w:tc>
          <w:tcPr>
            <w:tcW w:w="3194" w:type="dxa"/>
            <w:gridSpan w:val="3"/>
            <w:vAlign w:val="center"/>
          </w:tcPr>
          <w:p w14:paraId="07E344BC">
            <w:pPr>
              <w:pStyle w:val="11"/>
              <w:spacing w:line="300" w:lineRule="exact"/>
              <w:ind w:firstLine="460"/>
              <w:jc w:val="center"/>
              <w:rPr>
                <w:rFonts w:ascii="宋体" w:hAnsi="宋体"/>
                <w:sz w:val="21"/>
                <w:szCs w:val="21"/>
              </w:rPr>
            </w:pPr>
            <w:r>
              <w:rPr>
                <w:rFonts w:hint="eastAsia" w:ascii="宋体" w:hAnsi="宋体"/>
                <w:sz w:val="21"/>
                <w:szCs w:val="21"/>
              </w:rPr>
              <w:t>站外建、构筑物</w:t>
            </w:r>
          </w:p>
        </w:tc>
        <w:tc>
          <w:tcPr>
            <w:tcW w:w="2387" w:type="dxa"/>
            <w:gridSpan w:val="2"/>
            <w:vAlign w:val="center"/>
          </w:tcPr>
          <w:p w14:paraId="443F696C">
            <w:pPr>
              <w:pStyle w:val="11"/>
              <w:spacing w:line="300" w:lineRule="exact"/>
              <w:ind w:firstLine="460"/>
              <w:jc w:val="center"/>
              <w:rPr>
                <w:rFonts w:ascii="宋体" w:hAnsi="宋体"/>
                <w:sz w:val="21"/>
                <w:szCs w:val="21"/>
              </w:rPr>
            </w:pPr>
            <w:r>
              <w:rPr>
                <w:rFonts w:hint="eastAsia" w:ascii="宋体" w:hAnsi="宋体"/>
                <w:sz w:val="21"/>
                <w:szCs w:val="21"/>
              </w:rPr>
              <w:t>防火距离(m)</w:t>
            </w:r>
          </w:p>
        </w:tc>
      </w:tr>
      <w:tr w14:paraId="6AE6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4E00F179">
            <w:pPr>
              <w:pStyle w:val="11"/>
              <w:spacing w:line="300" w:lineRule="exact"/>
              <w:ind w:firstLine="460"/>
              <w:jc w:val="center"/>
              <w:rPr>
                <w:rFonts w:ascii="宋体" w:hAnsi="宋体"/>
                <w:sz w:val="21"/>
                <w:szCs w:val="21"/>
              </w:rPr>
            </w:pPr>
          </w:p>
        </w:tc>
        <w:tc>
          <w:tcPr>
            <w:tcW w:w="1157" w:type="dxa"/>
            <w:vMerge w:val="continue"/>
            <w:vAlign w:val="center"/>
          </w:tcPr>
          <w:p w14:paraId="7B313977">
            <w:pPr>
              <w:pStyle w:val="11"/>
              <w:spacing w:line="300" w:lineRule="exact"/>
              <w:ind w:firstLine="460"/>
              <w:jc w:val="center"/>
              <w:rPr>
                <w:rFonts w:ascii="宋体" w:hAnsi="宋体"/>
                <w:sz w:val="21"/>
                <w:szCs w:val="21"/>
              </w:rPr>
            </w:pPr>
          </w:p>
        </w:tc>
        <w:tc>
          <w:tcPr>
            <w:tcW w:w="934" w:type="dxa"/>
            <w:vAlign w:val="center"/>
          </w:tcPr>
          <w:p w14:paraId="3F013A86">
            <w:pPr>
              <w:pStyle w:val="11"/>
              <w:spacing w:line="300" w:lineRule="exact"/>
              <w:ind w:firstLine="0" w:firstLineChars="0"/>
              <w:jc w:val="center"/>
              <w:rPr>
                <w:rFonts w:ascii="宋体" w:hAnsi="宋体"/>
                <w:sz w:val="21"/>
                <w:szCs w:val="21"/>
              </w:rPr>
            </w:pPr>
            <w:r>
              <w:rPr>
                <w:rFonts w:hint="eastAsia" w:ascii="宋体" w:hAnsi="宋体"/>
                <w:sz w:val="21"/>
                <w:szCs w:val="21"/>
              </w:rPr>
              <w:t>名称</w:t>
            </w:r>
          </w:p>
        </w:tc>
        <w:tc>
          <w:tcPr>
            <w:tcW w:w="849" w:type="dxa"/>
            <w:vAlign w:val="center"/>
          </w:tcPr>
          <w:p w14:paraId="3D2DA474">
            <w:pPr>
              <w:pStyle w:val="11"/>
              <w:spacing w:line="300" w:lineRule="exact"/>
              <w:ind w:firstLine="0" w:firstLineChars="0"/>
              <w:rPr>
                <w:rFonts w:ascii="宋体" w:hAnsi="宋体"/>
                <w:sz w:val="21"/>
                <w:szCs w:val="21"/>
              </w:rPr>
            </w:pPr>
            <w:r>
              <w:rPr>
                <w:rFonts w:hint="eastAsia" w:ascii="宋体" w:hAnsi="宋体"/>
                <w:sz w:val="21"/>
                <w:szCs w:val="21"/>
              </w:rPr>
              <w:t>方位</w:t>
            </w:r>
          </w:p>
        </w:tc>
        <w:tc>
          <w:tcPr>
            <w:tcW w:w="1411" w:type="dxa"/>
            <w:vAlign w:val="center"/>
          </w:tcPr>
          <w:p w14:paraId="288BF464">
            <w:pPr>
              <w:pStyle w:val="11"/>
              <w:spacing w:line="300" w:lineRule="exact"/>
              <w:ind w:firstLine="218" w:firstLineChars="95"/>
              <w:rPr>
                <w:rFonts w:ascii="宋体" w:hAnsi="宋体"/>
                <w:sz w:val="21"/>
                <w:szCs w:val="21"/>
              </w:rPr>
            </w:pPr>
            <w:r>
              <w:rPr>
                <w:rFonts w:hint="eastAsia" w:ascii="宋体" w:hAnsi="宋体"/>
                <w:sz w:val="21"/>
                <w:szCs w:val="21"/>
              </w:rPr>
              <w:t>类别</w:t>
            </w:r>
          </w:p>
        </w:tc>
        <w:tc>
          <w:tcPr>
            <w:tcW w:w="1217" w:type="dxa"/>
            <w:vAlign w:val="center"/>
          </w:tcPr>
          <w:p w14:paraId="1E37AE4E">
            <w:pPr>
              <w:pStyle w:val="11"/>
              <w:spacing w:line="300" w:lineRule="exact"/>
              <w:ind w:left="230" w:hanging="230" w:hangingChars="100"/>
              <w:jc w:val="center"/>
              <w:rPr>
                <w:rFonts w:ascii="宋体" w:hAnsi="宋体"/>
                <w:sz w:val="21"/>
                <w:szCs w:val="21"/>
              </w:rPr>
            </w:pPr>
            <w:r>
              <w:rPr>
                <w:rFonts w:hint="eastAsia" w:ascii="宋体" w:hAnsi="宋体"/>
                <w:sz w:val="21"/>
                <w:szCs w:val="21"/>
              </w:rPr>
              <w:t>规范要求</w:t>
            </w:r>
          </w:p>
        </w:tc>
        <w:tc>
          <w:tcPr>
            <w:tcW w:w="1170" w:type="dxa"/>
            <w:vAlign w:val="center"/>
          </w:tcPr>
          <w:p w14:paraId="563DDEDF">
            <w:pPr>
              <w:pStyle w:val="11"/>
              <w:spacing w:line="300" w:lineRule="exact"/>
              <w:ind w:left="230" w:hanging="230" w:hangingChars="100"/>
              <w:jc w:val="center"/>
              <w:rPr>
                <w:rFonts w:ascii="宋体" w:hAnsi="宋体"/>
                <w:sz w:val="21"/>
                <w:szCs w:val="21"/>
              </w:rPr>
            </w:pPr>
            <w:r>
              <w:rPr>
                <w:rFonts w:hint="eastAsia" w:ascii="宋体" w:hAnsi="宋体"/>
                <w:sz w:val="21"/>
                <w:szCs w:val="21"/>
              </w:rPr>
              <w:t>实际距离</w:t>
            </w:r>
          </w:p>
        </w:tc>
      </w:tr>
      <w:tr w14:paraId="5352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restart"/>
            <w:vAlign w:val="center"/>
          </w:tcPr>
          <w:p w14:paraId="09D6249E">
            <w:pPr>
              <w:pStyle w:val="11"/>
              <w:spacing w:line="300" w:lineRule="exact"/>
              <w:ind w:firstLine="218" w:firstLineChars="95"/>
              <w:jc w:val="center"/>
              <w:rPr>
                <w:rFonts w:hint="eastAsia" w:ascii="宋体" w:hAnsi="宋体" w:eastAsia="宋体"/>
                <w:sz w:val="21"/>
                <w:szCs w:val="21"/>
                <w:lang w:eastAsia="zh-CN"/>
              </w:rPr>
            </w:pPr>
            <w:r>
              <w:rPr>
                <w:rFonts w:hint="eastAsia" w:ascii="宋体" w:hAnsi="宋体"/>
                <w:sz w:val="21"/>
                <w:szCs w:val="21"/>
                <w:lang w:eastAsia="zh-CN"/>
              </w:rPr>
              <w:t>1</w:t>
            </w:r>
          </w:p>
        </w:tc>
        <w:tc>
          <w:tcPr>
            <w:tcW w:w="1157" w:type="dxa"/>
            <w:vMerge w:val="restart"/>
            <w:vAlign w:val="center"/>
          </w:tcPr>
          <w:p w14:paraId="0CB034A2">
            <w:pPr>
              <w:pStyle w:val="11"/>
              <w:spacing w:line="300" w:lineRule="exact"/>
              <w:ind w:firstLine="0" w:firstLineChars="0"/>
              <w:jc w:val="center"/>
              <w:rPr>
                <w:rFonts w:ascii="宋体" w:hAnsi="宋体"/>
                <w:sz w:val="21"/>
                <w:szCs w:val="21"/>
              </w:rPr>
            </w:pPr>
            <w:r>
              <w:rPr>
                <w:rFonts w:hint="eastAsia" w:ascii="宋体" w:hAnsi="宋体"/>
                <w:sz w:val="21"/>
                <w:szCs w:val="21"/>
              </w:rPr>
              <w:t>埋地油罐</w:t>
            </w:r>
          </w:p>
        </w:tc>
        <w:tc>
          <w:tcPr>
            <w:tcW w:w="934" w:type="dxa"/>
            <w:vAlign w:val="center"/>
          </w:tcPr>
          <w:p w14:paraId="3FDA452E">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38B7A207">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411" w:type="dxa"/>
            <w:vAlign w:val="center"/>
          </w:tcPr>
          <w:p w14:paraId="6688CE9C">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主</w:t>
            </w:r>
            <w:r>
              <w:rPr>
                <w:rFonts w:hint="eastAsia" w:ascii="宋体" w:hAnsi="宋体"/>
                <w:sz w:val="21"/>
                <w:szCs w:val="21"/>
              </w:rPr>
              <w:t>干路</w:t>
            </w:r>
          </w:p>
        </w:tc>
        <w:tc>
          <w:tcPr>
            <w:tcW w:w="1217" w:type="dxa"/>
            <w:vAlign w:val="center"/>
          </w:tcPr>
          <w:p w14:paraId="191A4842">
            <w:pPr>
              <w:pStyle w:val="11"/>
              <w:spacing w:line="300" w:lineRule="exact"/>
              <w:ind w:firstLine="460"/>
              <w:rPr>
                <w:rFonts w:hint="default" w:ascii="宋体" w:hAnsi="宋体" w:eastAsia="宋体"/>
                <w:sz w:val="21"/>
                <w:szCs w:val="21"/>
                <w:lang w:val="en-US" w:eastAsia="zh-CN"/>
              </w:rPr>
            </w:pPr>
            <w:r>
              <w:rPr>
                <w:rFonts w:ascii="宋体" w:hAnsi="宋体"/>
                <w:sz w:val="21"/>
                <w:szCs w:val="21"/>
              </w:rPr>
              <w:t>5</w:t>
            </w:r>
            <w:r>
              <w:rPr>
                <w:rFonts w:hint="eastAsia" w:ascii="宋体" w:hAnsi="宋体"/>
                <w:sz w:val="21"/>
                <w:szCs w:val="21"/>
                <w:lang w:val="en-US" w:eastAsia="zh-CN"/>
              </w:rPr>
              <w:t>.5</w:t>
            </w:r>
          </w:p>
        </w:tc>
        <w:tc>
          <w:tcPr>
            <w:tcW w:w="1170" w:type="dxa"/>
            <w:vAlign w:val="center"/>
          </w:tcPr>
          <w:p w14:paraId="232777D9">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6</w:t>
            </w:r>
          </w:p>
        </w:tc>
      </w:tr>
      <w:tr w14:paraId="2C7B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257EBF6C">
            <w:pPr>
              <w:pStyle w:val="11"/>
              <w:spacing w:line="300" w:lineRule="exact"/>
              <w:ind w:firstLine="218" w:firstLineChars="95"/>
              <w:jc w:val="center"/>
              <w:rPr>
                <w:rFonts w:hint="default" w:ascii="宋体" w:hAnsi="宋体"/>
                <w:sz w:val="21"/>
                <w:szCs w:val="21"/>
                <w:lang w:val="en-US"/>
              </w:rPr>
            </w:pPr>
            <w:bookmarkStart w:id="94" w:name="_Hlk57274409"/>
          </w:p>
        </w:tc>
        <w:tc>
          <w:tcPr>
            <w:tcW w:w="1157" w:type="dxa"/>
            <w:vMerge w:val="continue"/>
            <w:vAlign w:val="center"/>
          </w:tcPr>
          <w:p w14:paraId="5062FDC8">
            <w:pPr>
              <w:pStyle w:val="11"/>
              <w:spacing w:line="300" w:lineRule="exact"/>
              <w:ind w:firstLine="0" w:firstLineChars="0"/>
              <w:jc w:val="center"/>
              <w:rPr>
                <w:rFonts w:hint="eastAsia" w:ascii="宋体" w:hAnsi="宋体"/>
                <w:sz w:val="21"/>
                <w:szCs w:val="21"/>
              </w:rPr>
            </w:pPr>
          </w:p>
        </w:tc>
        <w:tc>
          <w:tcPr>
            <w:tcW w:w="934" w:type="dxa"/>
            <w:vAlign w:val="center"/>
          </w:tcPr>
          <w:p w14:paraId="42E9412D">
            <w:pPr>
              <w:pStyle w:val="11"/>
              <w:spacing w:line="300" w:lineRule="exact"/>
              <w:ind w:firstLine="0" w:firstLineChars="0"/>
              <w:jc w:val="center"/>
              <w:rPr>
                <w:rFonts w:hint="eastAsia" w:ascii="宋体" w:hAnsi="宋体" w:eastAsia="宋体"/>
                <w:sz w:val="21"/>
                <w:szCs w:val="21"/>
                <w:lang w:val="en-US" w:eastAsia="zh-CN"/>
              </w:rPr>
            </w:pPr>
            <w:r>
              <w:rPr>
                <w:rFonts w:hint="eastAsia" w:ascii="宋体" w:hAnsi="宋体"/>
                <w:sz w:val="21"/>
                <w:szCs w:val="21"/>
                <w:lang w:val="en-US" w:eastAsia="zh-CN"/>
              </w:rPr>
              <w:t>民房</w:t>
            </w:r>
          </w:p>
        </w:tc>
        <w:tc>
          <w:tcPr>
            <w:tcW w:w="849" w:type="dxa"/>
            <w:vAlign w:val="center"/>
          </w:tcPr>
          <w:p w14:paraId="63CC52F7">
            <w:pPr>
              <w:jc w:val="center"/>
              <w:rPr>
                <w:rFonts w:hint="default" w:ascii="宋体" w:hAnsi="宋体" w:eastAsia="宋体"/>
                <w:szCs w:val="21"/>
                <w:lang w:val="en-US" w:eastAsia="zh-CN"/>
              </w:rPr>
            </w:pPr>
            <w:r>
              <w:rPr>
                <w:rFonts w:hint="eastAsia" w:ascii="宋体" w:hAnsi="宋体"/>
                <w:szCs w:val="21"/>
                <w:lang w:val="en-US" w:eastAsia="zh-CN"/>
              </w:rPr>
              <w:t>东面</w:t>
            </w:r>
          </w:p>
        </w:tc>
        <w:tc>
          <w:tcPr>
            <w:tcW w:w="1411" w:type="dxa"/>
            <w:vAlign w:val="center"/>
          </w:tcPr>
          <w:p w14:paraId="6BAF5BE0">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487F2E8A">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7</w:t>
            </w:r>
          </w:p>
        </w:tc>
        <w:tc>
          <w:tcPr>
            <w:tcW w:w="1170" w:type="dxa"/>
            <w:vAlign w:val="center"/>
          </w:tcPr>
          <w:p w14:paraId="73A4F1DA">
            <w:pPr>
              <w:pStyle w:val="11"/>
              <w:spacing w:line="300" w:lineRule="exact"/>
              <w:ind w:firstLine="0" w:firstLineChars="0"/>
              <w:jc w:val="center"/>
              <w:rPr>
                <w:rFonts w:hint="eastAsia" w:ascii="宋体" w:hAnsi="宋体" w:eastAsia="宋体"/>
                <w:sz w:val="21"/>
                <w:szCs w:val="21"/>
                <w:lang w:val="en-US" w:eastAsia="zh-CN"/>
              </w:rPr>
            </w:pPr>
            <w:r>
              <w:rPr>
                <w:rFonts w:hint="eastAsia" w:ascii="宋体" w:hAnsi="宋体"/>
                <w:sz w:val="21"/>
                <w:szCs w:val="21"/>
                <w:lang w:val="en-US" w:eastAsia="zh-CN"/>
              </w:rPr>
              <w:t>9</w:t>
            </w:r>
          </w:p>
        </w:tc>
      </w:tr>
      <w:tr w14:paraId="439D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34C56182">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09678AC6">
            <w:pPr>
              <w:pStyle w:val="11"/>
              <w:spacing w:line="300" w:lineRule="exact"/>
              <w:ind w:firstLine="0" w:firstLineChars="0"/>
              <w:jc w:val="center"/>
              <w:rPr>
                <w:rFonts w:hint="eastAsia" w:ascii="宋体" w:hAnsi="宋体"/>
                <w:sz w:val="21"/>
                <w:szCs w:val="21"/>
              </w:rPr>
            </w:pPr>
          </w:p>
        </w:tc>
        <w:tc>
          <w:tcPr>
            <w:tcW w:w="934" w:type="dxa"/>
            <w:vAlign w:val="center"/>
          </w:tcPr>
          <w:p w14:paraId="176294FC">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洗车机</w:t>
            </w:r>
          </w:p>
        </w:tc>
        <w:tc>
          <w:tcPr>
            <w:tcW w:w="849" w:type="dxa"/>
            <w:vAlign w:val="center"/>
          </w:tcPr>
          <w:p w14:paraId="2302DBFA">
            <w:pPr>
              <w:jc w:val="center"/>
              <w:rPr>
                <w:rFonts w:hint="eastAsia" w:ascii="宋体" w:hAnsi="宋体"/>
                <w:szCs w:val="21"/>
                <w:lang w:val="en-US" w:eastAsia="zh-CN"/>
              </w:rPr>
            </w:pPr>
            <w:r>
              <w:rPr>
                <w:rFonts w:hint="eastAsia" w:ascii="宋体" w:hAnsi="宋体"/>
                <w:szCs w:val="21"/>
                <w:lang w:val="en-US" w:eastAsia="zh-CN"/>
              </w:rPr>
              <w:t>东面</w:t>
            </w:r>
          </w:p>
        </w:tc>
        <w:tc>
          <w:tcPr>
            <w:tcW w:w="1411" w:type="dxa"/>
            <w:vAlign w:val="center"/>
          </w:tcPr>
          <w:p w14:paraId="40569480">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5F90349E">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7</w:t>
            </w:r>
          </w:p>
        </w:tc>
        <w:tc>
          <w:tcPr>
            <w:tcW w:w="1170" w:type="dxa"/>
            <w:vAlign w:val="center"/>
          </w:tcPr>
          <w:p w14:paraId="015B39E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17</w:t>
            </w:r>
          </w:p>
        </w:tc>
      </w:tr>
      <w:tr w14:paraId="0207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5BC46844">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7E324816">
            <w:pPr>
              <w:pStyle w:val="11"/>
              <w:spacing w:line="300" w:lineRule="exact"/>
              <w:ind w:firstLine="0" w:firstLineChars="0"/>
              <w:jc w:val="center"/>
              <w:rPr>
                <w:rFonts w:hint="eastAsia" w:ascii="宋体" w:hAnsi="宋体"/>
                <w:sz w:val="21"/>
                <w:szCs w:val="21"/>
              </w:rPr>
            </w:pPr>
          </w:p>
        </w:tc>
        <w:tc>
          <w:tcPr>
            <w:tcW w:w="934" w:type="dxa"/>
            <w:vAlign w:val="center"/>
          </w:tcPr>
          <w:p w14:paraId="564E288D">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架空电力线</w:t>
            </w:r>
          </w:p>
        </w:tc>
        <w:tc>
          <w:tcPr>
            <w:tcW w:w="849" w:type="dxa"/>
            <w:vAlign w:val="center"/>
          </w:tcPr>
          <w:p w14:paraId="0E81A7B4">
            <w:pPr>
              <w:jc w:val="center"/>
              <w:rPr>
                <w:rFonts w:hint="default" w:ascii="宋体" w:hAnsi="宋体"/>
                <w:szCs w:val="21"/>
                <w:lang w:val="en-US" w:eastAsia="zh-CN"/>
              </w:rPr>
            </w:pPr>
            <w:r>
              <w:rPr>
                <w:rFonts w:hint="eastAsia" w:ascii="宋体" w:hAnsi="宋体"/>
                <w:szCs w:val="21"/>
                <w:lang w:val="en-US" w:eastAsia="zh-CN"/>
              </w:rPr>
              <w:t>北面</w:t>
            </w:r>
          </w:p>
        </w:tc>
        <w:tc>
          <w:tcPr>
            <w:tcW w:w="1411" w:type="dxa"/>
            <w:vAlign w:val="center"/>
          </w:tcPr>
          <w:p w14:paraId="66861E72">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17" w:type="dxa"/>
            <w:vAlign w:val="center"/>
          </w:tcPr>
          <w:p w14:paraId="056F9E4B">
            <w:pPr>
              <w:pStyle w:val="11"/>
              <w:spacing w:line="300" w:lineRule="exact"/>
              <w:ind w:firstLine="460"/>
              <w:rPr>
                <w:rFonts w:hint="default" w:ascii="宋体" w:hAnsi="宋体"/>
                <w:sz w:val="21"/>
                <w:szCs w:val="21"/>
                <w:lang w:val="en-US" w:eastAsia="zh-CN"/>
              </w:rPr>
            </w:pPr>
            <w:r>
              <w:rPr>
                <w:rFonts w:hint="eastAsia" w:ascii="宋体" w:hAnsi="宋体"/>
                <w:sz w:val="21"/>
                <w:szCs w:val="21"/>
                <w:lang w:val="en-US" w:eastAsia="zh-CN"/>
              </w:rPr>
              <w:t>5</w:t>
            </w:r>
          </w:p>
        </w:tc>
        <w:tc>
          <w:tcPr>
            <w:tcW w:w="1170" w:type="dxa"/>
            <w:vAlign w:val="center"/>
          </w:tcPr>
          <w:p w14:paraId="7AAE7C7A">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34.2</w:t>
            </w:r>
          </w:p>
        </w:tc>
      </w:tr>
      <w:tr w14:paraId="77AE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restart"/>
            <w:vAlign w:val="center"/>
          </w:tcPr>
          <w:p w14:paraId="5045F4C0">
            <w:pPr>
              <w:pStyle w:val="11"/>
              <w:spacing w:line="300" w:lineRule="exact"/>
              <w:ind w:firstLine="218" w:firstLineChars="95"/>
              <w:jc w:val="center"/>
              <w:rPr>
                <w:rFonts w:ascii="宋体" w:hAnsi="宋体"/>
                <w:sz w:val="21"/>
                <w:szCs w:val="21"/>
              </w:rPr>
            </w:pPr>
            <w:r>
              <w:rPr>
                <w:rFonts w:hint="eastAsia" w:ascii="宋体" w:hAnsi="宋体"/>
                <w:sz w:val="21"/>
                <w:szCs w:val="21"/>
              </w:rPr>
              <w:t>2</w:t>
            </w:r>
          </w:p>
        </w:tc>
        <w:tc>
          <w:tcPr>
            <w:tcW w:w="1157" w:type="dxa"/>
            <w:vMerge w:val="restart"/>
            <w:vAlign w:val="center"/>
          </w:tcPr>
          <w:p w14:paraId="6D002CA1">
            <w:pPr>
              <w:pStyle w:val="11"/>
              <w:spacing w:line="300" w:lineRule="exact"/>
              <w:ind w:firstLine="0" w:firstLineChars="0"/>
              <w:jc w:val="center"/>
              <w:rPr>
                <w:rFonts w:ascii="宋体" w:hAnsi="宋体"/>
                <w:sz w:val="21"/>
                <w:szCs w:val="21"/>
              </w:rPr>
            </w:pPr>
            <w:r>
              <w:rPr>
                <w:rFonts w:hint="eastAsia" w:ascii="宋体" w:hAnsi="宋体"/>
                <w:sz w:val="21"/>
                <w:szCs w:val="21"/>
              </w:rPr>
              <w:t>通气管口</w:t>
            </w:r>
          </w:p>
        </w:tc>
        <w:tc>
          <w:tcPr>
            <w:tcW w:w="934" w:type="dxa"/>
            <w:vAlign w:val="center"/>
          </w:tcPr>
          <w:p w14:paraId="4B27B770">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31A85F52">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411" w:type="dxa"/>
            <w:vAlign w:val="center"/>
          </w:tcPr>
          <w:p w14:paraId="76362BEE">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主</w:t>
            </w:r>
            <w:r>
              <w:rPr>
                <w:rFonts w:hint="eastAsia" w:ascii="宋体" w:hAnsi="宋体"/>
                <w:sz w:val="21"/>
                <w:szCs w:val="21"/>
              </w:rPr>
              <w:t>干路</w:t>
            </w:r>
          </w:p>
        </w:tc>
        <w:tc>
          <w:tcPr>
            <w:tcW w:w="1217" w:type="dxa"/>
            <w:vAlign w:val="center"/>
          </w:tcPr>
          <w:p w14:paraId="1BA7CE73">
            <w:pPr>
              <w:pStyle w:val="11"/>
              <w:spacing w:line="300" w:lineRule="exact"/>
              <w:ind w:firstLine="460" w:firstLineChars="200"/>
              <w:rPr>
                <w:rFonts w:ascii="宋体" w:hAnsi="宋体"/>
                <w:sz w:val="21"/>
                <w:szCs w:val="21"/>
              </w:rPr>
            </w:pPr>
            <w:r>
              <w:rPr>
                <w:rFonts w:ascii="宋体" w:hAnsi="宋体"/>
                <w:sz w:val="21"/>
                <w:szCs w:val="21"/>
              </w:rPr>
              <w:t>5</w:t>
            </w:r>
            <w:r>
              <w:rPr>
                <w:rFonts w:hint="eastAsia" w:ascii="宋体" w:hAnsi="宋体"/>
                <w:sz w:val="21"/>
                <w:szCs w:val="21"/>
                <w:lang w:val="en-US" w:eastAsia="zh-CN"/>
              </w:rPr>
              <w:t>.5</w:t>
            </w:r>
          </w:p>
        </w:tc>
        <w:tc>
          <w:tcPr>
            <w:tcW w:w="1170" w:type="dxa"/>
            <w:vAlign w:val="center"/>
          </w:tcPr>
          <w:p w14:paraId="619CB2A7">
            <w:pPr>
              <w:pStyle w:val="11"/>
              <w:spacing w:line="300" w:lineRule="exact"/>
              <w:ind w:firstLine="0" w:firstLineChars="0"/>
              <w:jc w:val="center"/>
              <w:rPr>
                <w:rFonts w:ascii="宋体" w:hAnsi="宋体"/>
                <w:sz w:val="21"/>
                <w:szCs w:val="21"/>
              </w:rPr>
            </w:pPr>
            <w:r>
              <w:rPr>
                <w:rFonts w:hint="eastAsia" w:ascii="宋体" w:hAnsi="宋体"/>
                <w:sz w:val="21"/>
                <w:szCs w:val="21"/>
              </w:rPr>
              <w:t>13</w:t>
            </w:r>
          </w:p>
        </w:tc>
      </w:tr>
      <w:tr w14:paraId="72A1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4222CA11">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385ED3DF">
            <w:pPr>
              <w:pStyle w:val="11"/>
              <w:spacing w:line="300" w:lineRule="exact"/>
              <w:ind w:firstLine="0" w:firstLineChars="0"/>
              <w:jc w:val="center"/>
              <w:rPr>
                <w:rFonts w:hint="eastAsia" w:ascii="宋体" w:hAnsi="宋体"/>
                <w:sz w:val="21"/>
                <w:szCs w:val="21"/>
              </w:rPr>
            </w:pPr>
          </w:p>
        </w:tc>
        <w:tc>
          <w:tcPr>
            <w:tcW w:w="934" w:type="dxa"/>
            <w:vAlign w:val="center"/>
          </w:tcPr>
          <w:p w14:paraId="515961B0">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民房</w:t>
            </w:r>
          </w:p>
        </w:tc>
        <w:tc>
          <w:tcPr>
            <w:tcW w:w="849" w:type="dxa"/>
            <w:vAlign w:val="center"/>
          </w:tcPr>
          <w:p w14:paraId="3E9EFC66">
            <w:pPr>
              <w:jc w:val="center"/>
              <w:rPr>
                <w:rFonts w:hint="eastAsia" w:ascii="宋体" w:hAnsi="宋体"/>
                <w:szCs w:val="21"/>
              </w:rPr>
            </w:pPr>
            <w:r>
              <w:rPr>
                <w:rFonts w:hint="eastAsia" w:ascii="宋体" w:hAnsi="宋体"/>
                <w:szCs w:val="21"/>
                <w:lang w:val="en-US" w:eastAsia="zh-CN"/>
              </w:rPr>
              <w:t>东面</w:t>
            </w:r>
          </w:p>
        </w:tc>
        <w:tc>
          <w:tcPr>
            <w:tcW w:w="1411" w:type="dxa"/>
            <w:vAlign w:val="center"/>
          </w:tcPr>
          <w:p w14:paraId="483051F2">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503F4F71">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7</w:t>
            </w:r>
          </w:p>
        </w:tc>
        <w:tc>
          <w:tcPr>
            <w:tcW w:w="1170" w:type="dxa"/>
            <w:vAlign w:val="center"/>
          </w:tcPr>
          <w:p w14:paraId="387D742B">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13.3</w:t>
            </w:r>
          </w:p>
        </w:tc>
      </w:tr>
      <w:tr w14:paraId="0875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371C8471">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7009F197">
            <w:pPr>
              <w:pStyle w:val="11"/>
              <w:spacing w:line="300" w:lineRule="exact"/>
              <w:ind w:firstLine="0" w:firstLineChars="0"/>
              <w:jc w:val="center"/>
              <w:rPr>
                <w:rFonts w:hint="eastAsia" w:ascii="宋体" w:hAnsi="宋体"/>
                <w:sz w:val="21"/>
                <w:szCs w:val="21"/>
              </w:rPr>
            </w:pPr>
          </w:p>
        </w:tc>
        <w:tc>
          <w:tcPr>
            <w:tcW w:w="934" w:type="dxa"/>
            <w:vAlign w:val="center"/>
          </w:tcPr>
          <w:p w14:paraId="646829CB">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洗车机</w:t>
            </w:r>
          </w:p>
        </w:tc>
        <w:tc>
          <w:tcPr>
            <w:tcW w:w="849" w:type="dxa"/>
            <w:vAlign w:val="center"/>
          </w:tcPr>
          <w:p w14:paraId="04A05FDF">
            <w:pPr>
              <w:jc w:val="center"/>
              <w:rPr>
                <w:rFonts w:hint="eastAsia" w:ascii="宋体" w:hAnsi="宋体"/>
                <w:szCs w:val="21"/>
              </w:rPr>
            </w:pPr>
            <w:r>
              <w:rPr>
                <w:rFonts w:hint="eastAsia" w:ascii="宋体" w:hAnsi="宋体"/>
                <w:szCs w:val="21"/>
                <w:lang w:val="en-US" w:eastAsia="zh-CN"/>
              </w:rPr>
              <w:t>东面</w:t>
            </w:r>
          </w:p>
        </w:tc>
        <w:tc>
          <w:tcPr>
            <w:tcW w:w="1411" w:type="dxa"/>
            <w:vAlign w:val="center"/>
          </w:tcPr>
          <w:p w14:paraId="3F9E482A">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60BFA995">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7</w:t>
            </w:r>
          </w:p>
        </w:tc>
        <w:tc>
          <w:tcPr>
            <w:tcW w:w="1170" w:type="dxa"/>
            <w:vAlign w:val="center"/>
          </w:tcPr>
          <w:p w14:paraId="6AF9790E">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21.3</w:t>
            </w:r>
          </w:p>
        </w:tc>
      </w:tr>
      <w:tr w14:paraId="6B93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1B81C3EA">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6F8A7D98">
            <w:pPr>
              <w:pStyle w:val="11"/>
              <w:spacing w:line="300" w:lineRule="exact"/>
              <w:ind w:firstLine="0" w:firstLineChars="0"/>
              <w:jc w:val="center"/>
              <w:rPr>
                <w:rFonts w:hint="eastAsia" w:ascii="宋体" w:hAnsi="宋体"/>
                <w:sz w:val="21"/>
                <w:szCs w:val="21"/>
              </w:rPr>
            </w:pPr>
          </w:p>
        </w:tc>
        <w:tc>
          <w:tcPr>
            <w:tcW w:w="934" w:type="dxa"/>
            <w:vAlign w:val="center"/>
          </w:tcPr>
          <w:p w14:paraId="28F62E93">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架空电力线</w:t>
            </w:r>
          </w:p>
        </w:tc>
        <w:tc>
          <w:tcPr>
            <w:tcW w:w="849" w:type="dxa"/>
            <w:vAlign w:val="center"/>
          </w:tcPr>
          <w:p w14:paraId="726ABD34">
            <w:pPr>
              <w:jc w:val="center"/>
              <w:rPr>
                <w:rFonts w:hint="eastAsia" w:ascii="宋体" w:hAnsi="宋体"/>
                <w:szCs w:val="21"/>
              </w:rPr>
            </w:pPr>
            <w:r>
              <w:rPr>
                <w:rFonts w:hint="eastAsia" w:ascii="宋体" w:hAnsi="宋体"/>
                <w:szCs w:val="21"/>
                <w:lang w:val="en-US" w:eastAsia="zh-CN"/>
              </w:rPr>
              <w:t>北面</w:t>
            </w:r>
          </w:p>
        </w:tc>
        <w:tc>
          <w:tcPr>
            <w:tcW w:w="1411" w:type="dxa"/>
            <w:vAlign w:val="center"/>
          </w:tcPr>
          <w:p w14:paraId="67F097BA">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17" w:type="dxa"/>
            <w:vAlign w:val="center"/>
          </w:tcPr>
          <w:p w14:paraId="4F584C87">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5</w:t>
            </w:r>
          </w:p>
        </w:tc>
        <w:tc>
          <w:tcPr>
            <w:tcW w:w="1170" w:type="dxa"/>
            <w:vAlign w:val="center"/>
          </w:tcPr>
          <w:p w14:paraId="0F1E65F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33.8</w:t>
            </w:r>
          </w:p>
        </w:tc>
      </w:tr>
      <w:bookmarkEnd w:id="94"/>
      <w:tr w14:paraId="1A33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vAlign w:val="center"/>
          </w:tcPr>
          <w:p w14:paraId="543B4411">
            <w:pPr>
              <w:pStyle w:val="11"/>
              <w:spacing w:line="300" w:lineRule="exact"/>
              <w:ind w:firstLine="218" w:firstLineChars="95"/>
              <w:jc w:val="center"/>
              <w:rPr>
                <w:rFonts w:ascii="宋体" w:hAnsi="宋体"/>
                <w:sz w:val="21"/>
                <w:szCs w:val="21"/>
              </w:rPr>
            </w:pPr>
            <w:r>
              <w:rPr>
                <w:rFonts w:hint="eastAsia" w:ascii="宋体" w:hAnsi="宋体"/>
                <w:sz w:val="21"/>
                <w:szCs w:val="21"/>
              </w:rPr>
              <w:t>3</w:t>
            </w:r>
          </w:p>
        </w:tc>
        <w:tc>
          <w:tcPr>
            <w:tcW w:w="1157" w:type="dxa"/>
            <w:vMerge w:val="restart"/>
            <w:vAlign w:val="center"/>
          </w:tcPr>
          <w:p w14:paraId="0678FE13">
            <w:pPr>
              <w:spacing w:line="300" w:lineRule="exact"/>
              <w:jc w:val="center"/>
              <w:rPr>
                <w:rFonts w:ascii="宋体" w:hAnsi="宋体"/>
                <w:szCs w:val="21"/>
              </w:rPr>
            </w:pPr>
            <w:r>
              <w:rPr>
                <w:rFonts w:hint="eastAsia" w:ascii="宋体" w:hAnsi="宋体"/>
                <w:szCs w:val="21"/>
              </w:rPr>
              <w:t>加油机</w:t>
            </w:r>
          </w:p>
        </w:tc>
        <w:tc>
          <w:tcPr>
            <w:tcW w:w="934" w:type="dxa"/>
            <w:vAlign w:val="center"/>
          </w:tcPr>
          <w:p w14:paraId="489581A5">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323EFB16">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411" w:type="dxa"/>
            <w:vAlign w:val="center"/>
          </w:tcPr>
          <w:p w14:paraId="1E180ABC">
            <w:pPr>
              <w:pStyle w:val="11"/>
              <w:spacing w:line="300" w:lineRule="exact"/>
              <w:ind w:firstLine="0" w:firstLineChars="0"/>
              <w:jc w:val="center"/>
              <w:rPr>
                <w:rFonts w:ascii="宋体" w:hAnsi="宋体"/>
                <w:szCs w:val="21"/>
              </w:rPr>
            </w:pPr>
            <w:r>
              <w:rPr>
                <w:rFonts w:hint="eastAsia" w:ascii="宋体" w:hAnsi="宋体"/>
                <w:sz w:val="21"/>
                <w:szCs w:val="21"/>
                <w:lang w:val="en-US" w:eastAsia="zh-CN"/>
              </w:rPr>
              <w:t>主</w:t>
            </w:r>
            <w:r>
              <w:rPr>
                <w:rFonts w:hint="eastAsia" w:ascii="宋体" w:hAnsi="宋体"/>
                <w:sz w:val="21"/>
                <w:szCs w:val="21"/>
              </w:rPr>
              <w:t>干路</w:t>
            </w:r>
          </w:p>
        </w:tc>
        <w:tc>
          <w:tcPr>
            <w:tcW w:w="1217" w:type="dxa"/>
            <w:vAlign w:val="center"/>
          </w:tcPr>
          <w:p w14:paraId="2E6F6DE5">
            <w:pPr>
              <w:pStyle w:val="11"/>
              <w:spacing w:line="300" w:lineRule="exact"/>
              <w:ind w:firstLine="460" w:firstLineChars="200"/>
              <w:rPr>
                <w:rFonts w:ascii="宋体" w:hAnsi="宋体"/>
                <w:sz w:val="21"/>
                <w:szCs w:val="21"/>
              </w:rPr>
            </w:pPr>
            <w:r>
              <w:rPr>
                <w:rFonts w:ascii="宋体" w:hAnsi="宋体"/>
                <w:sz w:val="21"/>
                <w:szCs w:val="21"/>
              </w:rPr>
              <w:t>5</w:t>
            </w:r>
            <w:r>
              <w:rPr>
                <w:rFonts w:hint="eastAsia" w:ascii="宋体" w:hAnsi="宋体"/>
                <w:sz w:val="21"/>
                <w:szCs w:val="21"/>
                <w:lang w:val="en-US" w:eastAsia="zh-CN"/>
              </w:rPr>
              <w:t>.5</w:t>
            </w:r>
          </w:p>
        </w:tc>
        <w:tc>
          <w:tcPr>
            <w:tcW w:w="1170" w:type="dxa"/>
            <w:vAlign w:val="center"/>
          </w:tcPr>
          <w:p w14:paraId="3FC5CA3D">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7.8</w:t>
            </w:r>
          </w:p>
        </w:tc>
      </w:tr>
      <w:tr w14:paraId="61BB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4CDF4B4A">
            <w:pPr>
              <w:pStyle w:val="11"/>
              <w:spacing w:line="300" w:lineRule="exact"/>
              <w:ind w:firstLine="218" w:firstLineChars="95"/>
              <w:jc w:val="center"/>
              <w:rPr>
                <w:rFonts w:ascii="宋体" w:hAnsi="宋体"/>
                <w:sz w:val="21"/>
                <w:szCs w:val="21"/>
              </w:rPr>
            </w:pPr>
          </w:p>
        </w:tc>
        <w:tc>
          <w:tcPr>
            <w:tcW w:w="1157" w:type="dxa"/>
            <w:vMerge w:val="continue"/>
            <w:vAlign w:val="center"/>
          </w:tcPr>
          <w:p w14:paraId="49AFC3C5">
            <w:pPr>
              <w:spacing w:line="300" w:lineRule="exact"/>
              <w:jc w:val="center"/>
              <w:rPr>
                <w:rFonts w:ascii="宋体" w:hAnsi="宋体"/>
                <w:szCs w:val="21"/>
              </w:rPr>
            </w:pPr>
          </w:p>
        </w:tc>
        <w:tc>
          <w:tcPr>
            <w:tcW w:w="934" w:type="dxa"/>
            <w:vAlign w:val="center"/>
          </w:tcPr>
          <w:p w14:paraId="43969918">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民房</w:t>
            </w:r>
          </w:p>
        </w:tc>
        <w:tc>
          <w:tcPr>
            <w:tcW w:w="849" w:type="dxa"/>
            <w:vAlign w:val="center"/>
          </w:tcPr>
          <w:p w14:paraId="00FBD3E1">
            <w:pPr>
              <w:jc w:val="center"/>
              <w:rPr>
                <w:rFonts w:ascii="宋体" w:hAnsi="宋体"/>
                <w:szCs w:val="21"/>
              </w:rPr>
            </w:pPr>
            <w:r>
              <w:rPr>
                <w:rFonts w:hint="eastAsia" w:ascii="宋体" w:hAnsi="宋体"/>
                <w:szCs w:val="21"/>
                <w:lang w:val="en-US" w:eastAsia="zh-CN"/>
              </w:rPr>
              <w:t>东面</w:t>
            </w:r>
          </w:p>
        </w:tc>
        <w:tc>
          <w:tcPr>
            <w:tcW w:w="1411" w:type="dxa"/>
            <w:vAlign w:val="center"/>
          </w:tcPr>
          <w:p w14:paraId="35F531B8">
            <w:pPr>
              <w:pStyle w:val="11"/>
              <w:spacing w:line="300" w:lineRule="exact"/>
              <w:ind w:firstLine="0" w:firstLineChars="0"/>
              <w:jc w:val="center"/>
              <w:rPr>
                <w:rFonts w:ascii="宋体" w:hAnsi="宋体"/>
                <w:sz w:val="21"/>
                <w:szCs w:val="21"/>
              </w:rPr>
            </w:pPr>
            <w:r>
              <w:rPr>
                <w:rFonts w:hint="eastAsia" w:ascii="宋体" w:hAnsi="宋体"/>
                <w:sz w:val="21"/>
                <w:szCs w:val="21"/>
              </w:rPr>
              <w:t>三类</w:t>
            </w:r>
          </w:p>
        </w:tc>
        <w:tc>
          <w:tcPr>
            <w:tcW w:w="1217" w:type="dxa"/>
            <w:vAlign w:val="center"/>
          </w:tcPr>
          <w:p w14:paraId="3CC326F0">
            <w:pPr>
              <w:pStyle w:val="11"/>
              <w:spacing w:line="300" w:lineRule="exact"/>
              <w:ind w:firstLine="460" w:firstLineChars="200"/>
              <w:rPr>
                <w:rFonts w:ascii="宋体" w:hAnsi="宋体"/>
                <w:sz w:val="21"/>
                <w:szCs w:val="21"/>
              </w:rPr>
            </w:pPr>
            <w:r>
              <w:rPr>
                <w:rFonts w:hint="eastAsia" w:ascii="宋体" w:hAnsi="宋体"/>
                <w:sz w:val="21"/>
                <w:szCs w:val="21"/>
                <w:lang w:val="en-US" w:eastAsia="zh-CN"/>
              </w:rPr>
              <w:t>7</w:t>
            </w:r>
          </w:p>
        </w:tc>
        <w:tc>
          <w:tcPr>
            <w:tcW w:w="1170" w:type="dxa"/>
            <w:vAlign w:val="center"/>
          </w:tcPr>
          <w:p w14:paraId="2ED828E8">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15.5</w:t>
            </w:r>
          </w:p>
        </w:tc>
      </w:tr>
      <w:tr w14:paraId="2F79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4A8CA884">
            <w:pPr>
              <w:pStyle w:val="11"/>
              <w:spacing w:line="300" w:lineRule="exact"/>
              <w:ind w:firstLine="218" w:firstLineChars="95"/>
              <w:jc w:val="center"/>
              <w:rPr>
                <w:rFonts w:ascii="宋体" w:hAnsi="宋体"/>
                <w:sz w:val="21"/>
                <w:szCs w:val="21"/>
              </w:rPr>
            </w:pPr>
          </w:p>
        </w:tc>
        <w:tc>
          <w:tcPr>
            <w:tcW w:w="1157" w:type="dxa"/>
            <w:vMerge w:val="continue"/>
            <w:vAlign w:val="center"/>
          </w:tcPr>
          <w:p w14:paraId="49E7FC6B">
            <w:pPr>
              <w:spacing w:line="300" w:lineRule="exact"/>
              <w:jc w:val="center"/>
              <w:rPr>
                <w:rFonts w:ascii="宋体" w:hAnsi="宋体"/>
                <w:szCs w:val="21"/>
              </w:rPr>
            </w:pPr>
          </w:p>
        </w:tc>
        <w:tc>
          <w:tcPr>
            <w:tcW w:w="934" w:type="dxa"/>
            <w:vAlign w:val="center"/>
          </w:tcPr>
          <w:p w14:paraId="5AF11099">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洗车机</w:t>
            </w:r>
          </w:p>
        </w:tc>
        <w:tc>
          <w:tcPr>
            <w:tcW w:w="849" w:type="dxa"/>
            <w:vAlign w:val="center"/>
          </w:tcPr>
          <w:p w14:paraId="7F0F3CC1">
            <w:pPr>
              <w:jc w:val="center"/>
              <w:rPr>
                <w:rFonts w:hint="eastAsia" w:ascii="宋体" w:hAnsi="宋体"/>
                <w:szCs w:val="21"/>
              </w:rPr>
            </w:pPr>
            <w:r>
              <w:rPr>
                <w:rFonts w:hint="eastAsia" w:ascii="宋体" w:hAnsi="宋体"/>
                <w:szCs w:val="21"/>
                <w:lang w:val="en-US" w:eastAsia="zh-CN"/>
              </w:rPr>
              <w:t>东面</w:t>
            </w:r>
          </w:p>
        </w:tc>
        <w:tc>
          <w:tcPr>
            <w:tcW w:w="1411" w:type="dxa"/>
            <w:vAlign w:val="center"/>
          </w:tcPr>
          <w:p w14:paraId="6EC4A6B7">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791BA8AF">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7</w:t>
            </w:r>
          </w:p>
        </w:tc>
        <w:tc>
          <w:tcPr>
            <w:tcW w:w="1170" w:type="dxa"/>
            <w:vAlign w:val="center"/>
          </w:tcPr>
          <w:p w14:paraId="274983B2">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27.5</w:t>
            </w:r>
          </w:p>
        </w:tc>
      </w:tr>
      <w:tr w14:paraId="6DA0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3CF6A576">
            <w:pPr>
              <w:pStyle w:val="11"/>
              <w:spacing w:line="300" w:lineRule="exact"/>
              <w:ind w:firstLine="218" w:firstLineChars="95"/>
              <w:jc w:val="center"/>
              <w:rPr>
                <w:rFonts w:ascii="宋体" w:hAnsi="宋体"/>
                <w:sz w:val="21"/>
                <w:szCs w:val="21"/>
              </w:rPr>
            </w:pPr>
          </w:p>
        </w:tc>
        <w:tc>
          <w:tcPr>
            <w:tcW w:w="1157" w:type="dxa"/>
            <w:vMerge w:val="continue"/>
            <w:vAlign w:val="center"/>
          </w:tcPr>
          <w:p w14:paraId="3D10DC0D">
            <w:pPr>
              <w:spacing w:line="300" w:lineRule="exact"/>
              <w:jc w:val="center"/>
              <w:rPr>
                <w:rFonts w:ascii="宋体" w:hAnsi="宋体"/>
                <w:szCs w:val="21"/>
              </w:rPr>
            </w:pPr>
          </w:p>
        </w:tc>
        <w:tc>
          <w:tcPr>
            <w:tcW w:w="934" w:type="dxa"/>
            <w:vAlign w:val="center"/>
          </w:tcPr>
          <w:p w14:paraId="67E2B1AD">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架空电力线</w:t>
            </w:r>
          </w:p>
        </w:tc>
        <w:tc>
          <w:tcPr>
            <w:tcW w:w="849" w:type="dxa"/>
            <w:vAlign w:val="center"/>
          </w:tcPr>
          <w:p w14:paraId="171876C8">
            <w:pPr>
              <w:jc w:val="center"/>
              <w:rPr>
                <w:rFonts w:hint="eastAsia" w:ascii="宋体" w:hAnsi="宋体"/>
                <w:szCs w:val="21"/>
              </w:rPr>
            </w:pPr>
            <w:r>
              <w:rPr>
                <w:rFonts w:hint="eastAsia" w:ascii="宋体" w:hAnsi="宋体"/>
                <w:szCs w:val="21"/>
                <w:lang w:val="en-US" w:eastAsia="zh-CN"/>
              </w:rPr>
              <w:t>北面</w:t>
            </w:r>
          </w:p>
        </w:tc>
        <w:tc>
          <w:tcPr>
            <w:tcW w:w="1411" w:type="dxa"/>
            <w:vAlign w:val="center"/>
          </w:tcPr>
          <w:p w14:paraId="421EE644">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17" w:type="dxa"/>
            <w:vAlign w:val="center"/>
          </w:tcPr>
          <w:p w14:paraId="32DDC117">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5</w:t>
            </w:r>
          </w:p>
        </w:tc>
        <w:tc>
          <w:tcPr>
            <w:tcW w:w="1170" w:type="dxa"/>
            <w:vAlign w:val="center"/>
          </w:tcPr>
          <w:p w14:paraId="04FA3FBF">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25.6</w:t>
            </w:r>
          </w:p>
        </w:tc>
      </w:tr>
      <w:tr w14:paraId="062E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930" w:type="dxa"/>
            <w:gridSpan w:val="2"/>
            <w:vAlign w:val="center"/>
          </w:tcPr>
          <w:p w14:paraId="0345CDA0">
            <w:pPr>
              <w:pStyle w:val="17"/>
              <w:spacing w:line="300" w:lineRule="exact"/>
              <w:jc w:val="center"/>
              <w:rPr>
                <w:rFonts w:ascii="宋体" w:hAnsi="宋体"/>
                <w:szCs w:val="21"/>
              </w:rPr>
            </w:pPr>
            <w:r>
              <w:rPr>
                <w:rFonts w:hint="eastAsia" w:ascii="宋体" w:hAnsi="宋体"/>
                <w:szCs w:val="21"/>
              </w:rPr>
              <w:t>备注</w:t>
            </w:r>
          </w:p>
        </w:tc>
        <w:tc>
          <w:tcPr>
            <w:tcW w:w="5581" w:type="dxa"/>
            <w:gridSpan w:val="5"/>
            <w:vAlign w:val="center"/>
          </w:tcPr>
          <w:p w14:paraId="0B4E8F85">
            <w:pPr>
              <w:widowControl/>
              <w:spacing w:line="300" w:lineRule="exact"/>
              <w:rPr>
                <w:rFonts w:ascii="宋体" w:hAnsi="宋体"/>
                <w:szCs w:val="21"/>
              </w:rPr>
            </w:pPr>
            <w:r>
              <w:rPr>
                <w:rFonts w:ascii="宋体" w:hAnsi="宋体"/>
                <w:szCs w:val="21"/>
              </w:rPr>
              <w:t>1.</w:t>
            </w:r>
            <w:r>
              <w:rPr>
                <w:rFonts w:hint="eastAsia" w:ascii="宋体" w:hAnsi="宋体"/>
                <w:szCs w:val="21"/>
              </w:rPr>
              <w:t>加油站为三级站、有卸油、加油油气回收系统；</w:t>
            </w:r>
          </w:p>
          <w:p w14:paraId="1579FB9B">
            <w:pPr>
              <w:widowControl/>
              <w:spacing w:line="300" w:lineRule="exact"/>
              <w:rPr>
                <w:rFonts w:ascii="宋体" w:hAnsi="宋体"/>
                <w:szCs w:val="21"/>
              </w:rPr>
            </w:pPr>
            <w:r>
              <w:rPr>
                <w:rFonts w:hint="eastAsia" w:ascii="宋体" w:hAnsi="宋体"/>
                <w:szCs w:val="21"/>
              </w:rPr>
              <w:t>2.</w:t>
            </w:r>
            <w:r>
              <w:rPr>
                <w:rFonts w:ascii="宋体" w:hAnsi="宋体"/>
                <w:szCs w:val="21"/>
              </w:rPr>
              <w:t>加油站除面向公路一侧开敞，其余几面拟设置实体围墙；</w:t>
            </w:r>
          </w:p>
          <w:p w14:paraId="6F91A472">
            <w:pPr>
              <w:widowControl/>
              <w:spacing w:line="300" w:lineRule="exact"/>
              <w:rPr>
                <w:rFonts w:ascii="宋体" w:hAnsi="宋体"/>
                <w:szCs w:val="21"/>
              </w:rPr>
            </w:pPr>
            <w:r>
              <w:rPr>
                <w:rFonts w:hint="eastAsia" w:ascii="宋体" w:hAnsi="宋体"/>
                <w:szCs w:val="21"/>
              </w:rPr>
              <w:t>3.加油站周围无特殊名胜、风景、旅游，动植物及水生物保护区等环境保护敏感点。</w:t>
            </w:r>
          </w:p>
          <w:p w14:paraId="228766FB">
            <w:pPr>
              <w:widowControl/>
              <w:spacing w:line="300" w:lineRule="exact"/>
              <w:rPr>
                <w:rFonts w:ascii="宋体" w:hAnsi="宋体"/>
                <w:szCs w:val="21"/>
              </w:rPr>
            </w:pPr>
            <w:r>
              <w:rPr>
                <w:rFonts w:hint="eastAsia" w:ascii="宋体" w:hAnsi="宋体"/>
                <w:szCs w:val="21"/>
              </w:rPr>
              <w:t>4</w:t>
            </w:r>
            <w:r>
              <w:rPr>
                <w:rFonts w:ascii="宋体" w:hAnsi="宋体"/>
                <w:szCs w:val="21"/>
              </w:rPr>
              <w:t>.其余建筑物防火距离不涉及。</w:t>
            </w:r>
          </w:p>
        </w:tc>
      </w:tr>
      <w:bookmarkEnd w:id="93"/>
    </w:tbl>
    <w:p w14:paraId="44B5DBFA">
      <w:pPr>
        <w:pStyle w:val="50"/>
        <w:rPr>
          <w:snapToGrid w:val="0"/>
          <w:color w:val="auto"/>
          <w:kern w:val="0"/>
        </w:rPr>
      </w:pPr>
    </w:p>
    <w:p w14:paraId="432F1F1D">
      <w:pPr>
        <w:pStyle w:val="50"/>
        <w:rPr>
          <w:rFonts w:hint="eastAsia"/>
          <w:snapToGrid w:val="0"/>
          <w:color w:val="auto"/>
          <w:kern w:val="0"/>
        </w:rPr>
      </w:pPr>
      <w:r>
        <w:rPr>
          <w:rFonts w:hint="eastAsia"/>
          <w:snapToGrid w:val="0"/>
          <w:color w:val="auto"/>
          <w:kern w:val="0"/>
        </w:rPr>
        <w:t>表</w:t>
      </w:r>
      <w:r>
        <w:rPr>
          <w:snapToGrid w:val="0"/>
          <w:color w:val="auto"/>
          <w:kern w:val="0"/>
        </w:rPr>
        <w:t>2</w:t>
      </w:r>
      <w:r>
        <w:rPr>
          <w:rFonts w:hint="eastAsia"/>
          <w:snapToGrid w:val="0"/>
          <w:color w:val="auto"/>
          <w:kern w:val="0"/>
        </w:rPr>
        <w:t>-3  柴油设备与站外建、构筑物的防火距离一览表（m）</w:t>
      </w:r>
    </w:p>
    <w:tbl>
      <w:tblPr>
        <w:tblStyle w:val="33"/>
        <w:tblW w:w="7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57"/>
        <w:gridCol w:w="934"/>
        <w:gridCol w:w="849"/>
        <w:gridCol w:w="1411"/>
        <w:gridCol w:w="1217"/>
        <w:gridCol w:w="1170"/>
      </w:tblGrid>
      <w:tr w14:paraId="639F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vAlign w:val="center"/>
          </w:tcPr>
          <w:p w14:paraId="02962452">
            <w:pPr>
              <w:pStyle w:val="11"/>
              <w:spacing w:line="300" w:lineRule="exact"/>
              <w:ind w:firstLine="0" w:firstLineChars="0"/>
              <w:jc w:val="center"/>
              <w:rPr>
                <w:rFonts w:ascii="宋体" w:hAnsi="宋体"/>
                <w:sz w:val="21"/>
                <w:szCs w:val="21"/>
              </w:rPr>
            </w:pPr>
            <w:r>
              <w:rPr>
                <w:rFonts w:hint="eastAsia" w:ascii="宋体" w:hAnsi="宋体"/>
                <w:sz w:val="21"/>
                <w:szCs w:val="21"/>
              </w:rPr>
              <w:t>序号</w:t>
            </w:r>
          </w:p>
        </w:tc>
        <w:tc>
          <w:tcPr>
            <w:tcW w:w="1157" w:type="dxa"/>
            <w:vMerge w:val="restart"/>
            <w:vAlign w:val="center"/>
          </w:tcPr>
          <w:p w14:paraId="29220F3E">
            <w:pPr>
              <w:pStyle w:val="11"/>
              <w:spacing w:line="300" w:lineRule="exact"/>
              <w:ind w:firstLine="0" w:firstLineChars="0"/>
              <w:jc w:val="center"/>
              <w:rPr>
                <w:rFonts w:ascii="宋体" w:hAnsi="宋体"/>
                <w:sz w:val="21"/>
                <w:szCs w:val="21"/>
              </w:rPr>
            </w:pPr>
            <w:r>
              <w:rPr>
                <w:rFonts w:hint="eastAsia" w:ascii="宋体" w:hAnsi="宋体"/>
                <w:sz w:val="21"/>
                <w:szCs w:val="21"/>
              </w:rPr>
              <w:t>工艺设施</w:t>
            </w:r>
          </w:p>
        </w:tc>
        <w:tc>
          <w:tcPr>
            <w:tcW w:w="3194" w:type="dxa"/>
            <w:gridSpan w:val="3"/>
            <w:vAlign w:val="center"/>
          </w:tcPr>
          <w:p w14:paraId="1DC63721">
            <w:pPr>
              <w:pStyle w:val="11"/>
              <w:spacing w:line="300" w:lineRule="exact"/>
              <w:ind w:firstLine="460"/>
              <w:jc w:val="center"/>
              <w:rPr>
                <w:rFonts w:ascii="宋体" w:hAnsi="宋体"/>
                <w:sz w:val="21"/>
                <w:szCs w:val="21"/>
              </w:rPr>
            </w:pPr>
            <w:r>
              <w:rPr>
                <w:rFonts w:hint="eastAsia" w:ascii="宋体" w:hAnsi="宋体"/>
                <w:sz w:val="21"/>
                <w:szCs w:val="21"/>
              </w:rPr>
              <w:t>站外建、构筑物</w:t>
            </w:r>
          </w:p>
        </w:tc>
        <w:tc>
          <w:tcPr>
            <w:tcW w:w="2387" w:type="dxa"/>
            <w:gridSpan w:val="2"/>
            <w:vAlign w:val="center"/>
          </w:tcPr>
          <w:p w14:paraId="7684EACA">
            <w:pPr>
              <w:pStyle w:val="11"/>
              <w:spacing w:line="300" w:lineRule="exact"/>
              <w:ind w:firstLine="460"/>
              <w:jc w:val="center"/>
              <w:rPr>
                <w:rFonts w:ascii="宋体" w:hAnsi="宋体"/>
                <w:sz w:val="21"/>
                <w:szCs w:val="21"/>
              </w:rPr>
            </w:pPr>
            <w:r>
              <w:rPr>
                <w:rFonts w:hint="eastAsia" w:ascii="宋体" w:hAnsi="宋体"/>
                <w:sz w:val="21"/>
                <w:szCs w:val="21"/>
              </w:rPr>
              <w:t>防火距离(m)</w:t>
            </w:r>
          </w:p>
        </w:tc>
      </w:tr>
      <w:tr w14:paraId="37CB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07AE3180">
            <w:pPr>
              <w:pStyle w:val="11"/>
              <w:spacing w:line="300" w:lineRule="exact"/>
              <w:ind w:firstLine="460"/>
              <w:jc w:val="center"/>
              <w:rPr>
                <w:rFonts w:ascii="宋体" w:hAnsi="宋体"/>
                <w:sz w:val="21"/>
                <w:szCs w:val="21"/>
              </w:rPr>
            </w:pPr>
          </w:p>
        </w:tc>
        <w:tc>
          <w:tcPr>
            <w:tcW w:w="1157" w:type="dxa"/>
            <w:vMerge w:val="continue"/>
            <w:vAlign w:val="center"/>
          </w:tcPr>
          <w:p w14:paraId="5C173BFE">
            <w:pPr>
              <w:pStyle w:val="11"/>
              <w:spacing w:line="300" w:lineRule="exact"/>
              <w:ind w:firstLine="460"/>
              <w:jc w:val="center"/>
              <w:rPr>
                <w:rFonts w:ascii="宋体" w:hAnsi="宋体"/>
                <w:sz w:val="21"/>
                <w:szCs w:val="21"/>
              </w:rPr>
            </w:pPr>
          </w:p>
        </w:tc>
        <w:tc>
          <w:tcPr>
            <w:tcW w:w="934" w:type="dxa"/>
            <w:vAlign w:val="center"/>
          </w:tcPr>
          <w:p w14:paraId="20278129">
            <w:pPr>
              <w:pStyle w:val="11"/>
              <w:spacing w:line="300" w:lineRule="exact"/>
              <w:ind w:firstLine="0" w:firstLineChars="0"/>
              <w:jc w:val="center"/>
              <w:rPr>
                <w:rFonts w:ascii="宋体" w:hAnsi="宋体"/>
                <w:sz w:val="21"/>
                <w:szCs w:val="21"/>
              </w:rPr>
            </w:pPr>
            <w:r>
              <w:rPr>
                <w:rFonts w:hint="eastAsia" w:ascii="宋体" w:hAnsi="宋体"/>
                <w:sz w:val="21"/>
                <w:szCs w:val="21"/>
              </w:rPr>
              <w:t>名称</w:t>
            </w:r>
          </w:p>
        </w:tc>
        <w:tc>
          <w:tcPr>
            <w:tcW w:w="849" w:type="dxa"/>
            <w:vAlign w:val="center"/>
          </w:tcPr>
          <w:p w14:paraId="3B87BE78">
            <w:pPr>
              <w:pStyle w:val="11"/>
              <w:spacing w:line="300" w:lineRule="exact"/>
              <w:ind w:firstLine="0" w:firstLineChars="0"/>
              <w:rPr>
                <w:rFonts w:ascii="宋体" w:hAnsi="宋体"/>
                <w:sz w:val="21"/>
                <w:szCs w:val="21"/>
              </w:rPr>
            </w:pPr>
            <w:r>
              <w:rPr>
                <w:rFonts w:hint="eastAsia" w:ascii="宋体" w:hAnsi="宋体"/>
                <w:sz w:val="21"/>
                <w:szCs w:val="21"/>
              </w:rPr>
              <w:t>方位</w:t>
            </w:r>
          </w:p>
        </w:tc>
        <w:tc>
          <w:tcPr>
            <w:tcW w:w="1411" w:type="dxa"/>
            <w:vAlign w:val="center"/>
          </w:tcPr>
          <w:p w14:paraId="26AE8D80">
            <w:pPr>
              <w:pStyle w:val="11"/>
              <w:spacing w:line="300" w:lineRule="exact"/>
              <w:ind w:firstLine="218" w:firstLineChars="95"/>
              <w:rPr>
                <w:rFonts w:ascii="宋体" w:hAnsi="宋体"/>
                <w:sz w:val="21"/>
                <w:szCs w:val="21"/>
              </w:rPr>
            </w:pPr>
            <w:r>
              <w:rPr>
                <w:rFonts w:hint="eastAsia" w:ascii="宋体" w:hAnsi="宋体"/>
                <w:sz w:val="21"/>
                <w:szCs w:val="21"/>
              </w:rPr>
              <w:t>类别</w:t>
            </w:r>
          </w:p>
        </w:tc>
        <w:tc>
          <w:tcPr>
            <w:tcW w:w="1217" w:type="dxa"/>
            <w:vAlign w:val="center"/>
          </w:tcPr>
          <w:p w14:paraId="0EAED648">
            <w:pPr>
              <w:pStyle w:val="11"/>
              <w:spacing w:line="300" w:lineRule="exact"/>
              <w:ind w:left="230" w:hanging="230" w:hangingChars="100"/>
              <w:jc w:val="center"/>
              <w:rPr>
                <w:rFonts w:ascii="宋体" w:hAnsi="宋体"/>
                <w:sz w:val="21"/>
                <w:szCs w:val="21"/>
              </w:rPr>
            </w:pPr>
            <w:r>
              <w:rPr>
                <w:rFonts w:hint="eastAsia" w:ascii="宋体" w:hAnsi="宋体"/>
                <w:sz w:val="21"/>
                <w:szCs w:val="21"/>
              </w:rPr>
              <w:t>规范要求</w:t>
            </w:r>
          </w:p>
        </w:tc>
        <w:tc>
          <w:tcPr>
            <w:tcW w:w="1170" w:type="dxa"/>
            <w:vAlign w:val="center"/>
          </w:tcPr>
          <w:p w14:paraId="18771846">
            <w:pPr>
              <w:pStyle w:val="11"/>
              <w:spacing w:line="300" w:lineRule="exact"/>
              <w:ind w:left="230" w:hanging="230" w:hangingChars="100"/>
              <w:jc w:val="center"/>
              <w:rPr>
                <w:rFonts w:ascii="宋体" w:hAnsi="宋体"/>
                <w:sz w:val="21"/>
                <w:szCs w:val="21"/>
              </w:rPr>
            </w:pPr>
            <w:r>
              <w:rPr>
                <w:rFonts w:hint="eastAsia" w:ascii="宋体" w:hAnsi="宋体"/>
                <w:sz w:val="21"/>
                <w:szCs w:val="21"/>
              </w:rPr>
              <w:t>实际距离</w:t>
            </w:r>
          </w:p>
        </w:tc>
      </w:tr>
      <w:tr w14:paraId="0201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restart"/>
            <w:vAlign w:val="center"/>
          </w:tcPr>
          <w:p w14:paraId="7BE020BE">
            <w:pPr>
              <w:pStyle w:val="11"/>
              <w:spacing w:line="300" w:lineRule="exact"/>
              <w:ind w:firstLine="218" w:firstLineChars="95"/>
              <w:jc w:val="center"/>
              <w:rPr>
                <w:rFonts w:hint="eastAsia" w:ascii="宋体" w:hAnsi="宋体" w:eastAsia="宋体"/>
                <w:sz w:val="21"/>
                <w:szCs w:val="21"/>
                <w:lang w:eastAsia="zh-CN"/>
              </w:rPr>
            </w:pPr>
            <w:r>
              <w:rPr>
                <w:rFonts w:hint="eastAsia" w:ascii="宋体" w:hAnsi="宋体"/>
                <w:sz w:val="21"/>
                <w:szCs w:val="21"/>
                <w:lang w:eastAsia="zh-CN"/>
              </w:rPr>
              <w:t>1</w:t>
            </w:r>
          </w:p>
        </w:tc>
        <w:tc>
          <w:tcPr>
            <w:tcW w:w="1157" w:type="dxa"/>
            <w:vMerge w:val="restart"/>
            <w:vAlign w:val="center"/>
          </w:tcPr>
          <w:p w14:paraId="543605A3">
            <w:pPr>
              <w:pStyle w:val="11"/>
              <w:spacing w:line="300" w:lineRule="exact"/>
              <w:ind w:firstLine="0" w:firstLineChars="0"/>
              <w:jc w:val="center"/>
              <w:rPr>
                <w:rFonts w:ascii="宋体" w:hAnsi="宋体"/>
                <w:sz w:val="21"/>
                <w:szCs w:val="21"/>
              </w:rPr>
            </w:pPr>
            <w:r>
              <w:rPr>
                <w:rFonts w:hint="eastAsia" w:ascii="宋体" w:hAnsi="宋体"/>
                <w:sz w:val="21"/>
                <w:szCs w:val="21"/>
              </w:rPr>
              <w:t>埋地油罐</w:t>
            </w:r>
          </w:p>
        </w:tc>
        <w:tc>
          <w:tcPr>
            <w:tcW w:w="934" w:type="dxa"/>
            <w:vAlign w:val="center"/>
          </w:tcPr>
          <w:p w14:paraId="045ED284">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2F624C83">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411" w:type="dxa"/>
            <w:vAlign w:val="center"/>
          </w:tcPr>
          <w:p w14:paraId="799E2128">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主</w:t>
            </w:r>
            <w:r>
              <w:rPr>
                <w:rFonts w:hint="eastAsia" w:ascii="宋体" w:hAnsi="宋体"/>
                <w:sz w:val="21"/>
                <w:szCs w:val="21"/>
              </w:rPr>
              <w:t>干路</w:t>
            </w:r>
          </w:p>
        </w:tc>
        <w:tc>
          <w:tcPr>
            <w:tcW w:w="1217" w:type="dxa"/>
            <w:vAlign w:val="center"/>
          </w:tcPr>
          <w:p w14:paraId="735B8371">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3</w:t>
            </w:r>
          </w:p>
        </w:tc>
        <w:tc>
          <w:tcPr>
            <w:tcW w:w="1170" w:type="dxa"/>
            <w:vAlign w:val="center"/>
          </w:tcPr>
          <w:p w14:paraId="2E31578E">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20.4</w:t>
            </w:r>
          </w:p>
        </w:tc>
      </w:tr>
      <w:tr w14:paraId="0E09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072755BA">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238A8C9F">
            <w:pPr>
              <w:pStyle w:val="11"/>
              <w:spacing w:line="300" w:lineRule="exact"/>
              <w:ind w:firstLine="0" w:firstLineChars="0"/>
              <w:jc w:val="center"/>
              <w:rPr>
                <w:rFonts w:hint="eastAsia" w:ascii="宋体" w:hAnsi="宋体"/>
                <w:sz w:val="21"/>
                <w:szCs w:val="21"/>
              </w:rPr>
            </w:pPr>
          </w:p>
        </w:tc>
        <w:tc>
          <w:tcPr>
            <w:tcW w:w="934" w:type="dxa"/>
            <w:vAlign w:val="center"/>
          </w:tcPr>
          <w:p w14:paraId="7ECBFF96">
            <w:pPr>
              <w:pStyle w:val="11"/>
              <w:spacing w:line="300" w:lineRule="exact"/>
              <w:ind w:firstLine="0" w:firstLineChars="0"/>
              <w:jc w:val="center"/>
              <w:rPr>
                <w:rFonts w:hint="eastAsia" w:ascii="宋体" w:hAnsi="宋体" w:eastAsia="宋体"/>
                <w:sz w:val="21"/>
                <w:szCs w:val="21"/>
                <w:lang w:val="en-US" w:eastAsia="zh-CN"/>
              </w:rPr>
            </w:pPr>
            <w:r>
              <w:rPr>
                <w:rFonts w:hint="eastAsia" w:ascii="宋体" w:hAnsi="宋体"/>
                <w:sz w:val="21"/>
                <w:szCs w:val="21"/>
                <w:lang w:val="en-US" w:eastAsia="zh-CN"/>
              </w:rPr>
              <w:t>民房</w:t>
            </w:r>
          </w:p>
        </w:tc>
        <w:tc>
          <w:tcPr>
            <w:tcW w:w="849" w:type="dxa"/>
            <w:vAlign w:val="center"/>
          </w:tcPr>
          <w:p w14:paraId="29C6E047">
            <w:pPr>
              <w:jc w:val="center"/>
              <w:rPr>
                <w:rFonts w:hint="default" w:ascii="宋体" w:hAnsi="宋体" w:eastAsia="宋体"/>
                <w:szCs w:val="21"/>
                <w:lang w:val="en-US" w:eastAsia="zh-CN"/>
              </w:rPr>
            </w:pPr>
            <w:r>
              <w:rPr>
                <w:rFonts w:hint="eastAsia" w:ascii="宋体" w:hAnsi="宋体"/>
                <w:szCs w:val="21"/>
                <w:lang w:val="en-US" w:eastAsia="zh-CN"/>
              </w:rPr>
              <w:t>东面</w:t>
            </w:r>
          </w:p>
        </w:tc>
        <w:tc>
          <w:tcPr>
            <w:tcW w:w="1411" w:type="dxa"/>
            <w:vAlign w:val="center"/>
          </w:tcPr>
          <w:p w14:paraId="125F6C6B">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56271C9F">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6</w:t>
            </w:r>
          </w:p>
        </w:tc>
        <w:tc>
          <w:tcPr>
            <w:tcW w:w="1170" w:type="dxa"/>
            <w:vAlign w:val="center"/>
          </w:tcPr>
          <w:p w14:paraId="7EFF5646">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7.2</w:t>
            </w:r>
          </w:p>
        </w:tc>
      </w:tr>
      <w:tr w14:paraId="6E14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41017C6D">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2B2DED30">
            <w:pPr>
              <w:pStyle w:val="11"/>
              <w:spacing w:line="300" w:lineRule="exact"/>
              <w:ind w:firstLine="0" w:firstLineChars="0"/>
              <w:jc w:val="center"/>
              <w:rPr>
                <w:rFonts w:hint="eastAsia" w:ascii="宋体" w:hAnsi="宋体"/>
                <w:sz w:val="21"/>
                <w:szCs w:val="21"/>
              </w:rPr>
            </w:pPr>
          </w:p>
        </w:tc>
        <w:tc>
          <w:tcPr>
            <w:tcW w:w="934" w:type="dxa"/>
            <w:vAlign w:val="center"/>
          </w:tcPr>
          <w:p w14:paraId="59C2138A">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洗车机</w:t>
            </w:r>
          </w:p>
        </w:tc>
        <w:tc>
          <w:tcPr>
            <w:tcW w:w="849" w:type="dxa"/>
            <w:vAlign w:val="center"/>
          </w:tcPr>
          <w:p w14:paraId="5C023CE1">
            <w:pPr>
              <w:jc w:val="center"/>
              <w:rPr>
                <w:rFonts w:hint="eastAsia" w:ascii="宋体" w:hAnsi="宋体"/>
                <w:szCs w:val="21"/>
                <w:lang w:val="en-US" w:eastAsia="zh-CN"/>
              </w:rPr>
            </w:pPr>
            <w:r>
              <w:rPr>
                <w:rFonts w:hint="eastAsia" w:ascii="宋体" w:hAnsi="宋体"/>
                <w:szCs w:val="21"/>
                <w:lang w:val="en-US" w:eastAsia="zh-CN"/>
              </w:rPr>
              <w:t>东面</w:t>
            </w:r>
          </w:p>
        </w:tc>
        <w:tc>
          <w:tcPr>
            <w:tcW w:w="1411" w:type="dxa"/>
            <w:vAlign w:val="center"/>
          </w:tcPr>
          <w:p w14:paraId="7D7C7827">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632721EA">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6</w:t>
            </w:r>
          </w:p>
        </w:tc>
        <w:tc>
          <w:tcPr>
            <w:tcW w:w="1170" w:type="dxa"/>
            <w:vAlign w:val="center"/>
          </w:tcPr>
          <w:p w14:paraId="57ADE54A">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15.2</w:t>
            </w:r>
          </w:p>
        </w:tc>
      </w:tr>
      <w:tr w14:paraId="0A7B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6902B7DA">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2DE86BB0">
            <w:pPr>
              <w:pStyle w:val="11"/>
              <w:spacing w:line="300" w:lineRule="exact"/>
              <w:ind w:firstLine="0" w:firstLineChars="0"/>
              <w:jc w:val="center"/>
              <w:rPr>
                <w:rFonts w:hint="eastAsia" w:ascii="宋体" w:hAnsi="宋体"/>
                <w:sz w:val="21"/>
                <w:szCs w:val="21"/>
              </w:rPr>
            </w:pPr>
          </w:p>
        </w:tc>
        <w:tc>
          <w:tcPr>
            <w:tcW w:w="934" w:type="dxa"/>
            <w:vAlign w:val="center"/>
          </w:tcPr>
          <w:p w14:paraId="1BC5560D">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架空电力线</w:t>
            </w:r>
          </w:p>
        </w:tc>
        <w:tc>
          <w:tcPr>
            <w:tcW w:w="849" w:type="dxa"/>
            <w:vAlign w:val="center"/>
          </w:tcPr>
          <w:p w14:paraId="54726123">
            <w:pPr>
              <w:jc w:val="center"/>
              <w:rPr>
                <w:rFonts w:hint="default" w:ascii="宋体" w:hAnsi="宋体"/>
                <w:szCs w:val="21"/>
                <w:lang w:val="en-US" w:eastAsia="zh-CN"/>
              </w:rPr>
            </w:pPr>
            <w:r>
              <w:rPr>
                <w:rFonts w:hint="eastAsia" w:ascii="宋体" w:hAnsi="宋体"/>
                <w:szCs w:val="21"/>
                <w:lang w:val="en-US" w:eastAsia="zh-CN"/>
              </w:rPr>
              <w:t>北面</w:t>
            </w:r>
          </w:p>
        </w:tc>
        <w:tc>
          <w:tcPr>
            <w:tcW w:w="1411" w:type="dxa"/>
            <w:vAlign w:val="center"/>
          </w:tcPr>
          <w:p w14:paraId="28118EC3">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17" w:type="dxa"/>
            <w:vAlign w:val="center"/>
          </w:tcPr>
          <w:p w14:paraId="6EBB3CF9">
            <w:pPr>
              <w:pStyle w:val="11"/>
              <w:spacing w:line="300" w:lineRule="exact"/>
              <w:ind w:firstLine="460"/>
              <w:rPr>
                <w:rFonts w:hint="default" w:ascii="宋体" w:hAnsi="宋体"/>
                <w:sz w:val="21"/>
                <w:szCs w:val="21"/>
                <w:lang w:val="en-US" w:eastAsia="zh-CN"/>
              </w:rPr>
            </w:pPr>
            <w:r>
              <w:rPr>
                <w:rFonts w:hint="eastAsia" w:ascii="宋体" w:hAnsi="宋体"/>
                <w:sz w:val="21"/>
                <w:szCs w:val="21"/>
                <w:lang w:val="en-US" w:eastAsia="zh-CN"/>
              </w:rPr>
              <w:t>5</w:t>
            </w:r>
          </w:p>
        </w:tc>
        <w:tc>
          <w:tcPr>
            <w:tcW w:w="1170" w:type="dxa"/>
            <w:vAlign w:val="center"/>
          </w:tcPr>
          <w:p w14:paraId="46E5830E">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38</w:t>
            </w:r>
          </w:p>
        </w:tc>
      </w:tr>
      <w:tr w14:paraId="15BC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restart"/>
            <w:vAlign w:val="center"/>
          </w:tcPr>
          <w:p w14:paraId="4E99206D">
            <w:pPr>
              <w:pStyle w:val="11"/>
              <w:spacing w:line="300" w:lineRule="exact"/>
              <w:ind w:firstLine="218" w:firstLineChars="95"/>
              <w:jc w:val="center"/>
              <w:rPr>
                <w:rFonts w:ascii="宋体" w:hAnsi="宋体"/>
                <w:sz w:val="21"/>
                <w:szCs w:val="21"/>
              </w:rPr>
            </w:pPr>
            <w:r>
              <w:rPr>
                <w:rFonts w:hint="eastAsia" w:ascii="宋体" w:hAnsi="宋体"/>
                <w:sz w:val="21"/>
                <w:szCs w:val="21"/>
              </w:rPr>
              <w:t>2</w:t>
            </w:r>
          </w:p>
        </w:tc>
        <w:tc>
          <w:tcPr>
            <w:tcW w:w="1157" w:type="dxa"/>
            <w:vMerge w:val="restart"/>
            <w:vAlign w:val="center"/>
          </w:tcPr>
          <w:p w14:paraId="696180F2">
            <w:pPr>
              <w:pStyle w:val="11"/>
              <w:spacing w:line="300" w:lineRule="exact"/>
              <w:ind w:firstLine="0" w:firstLineChars="0"/>
              <w:jc w:val="center"/>
              <w:rPr>
                <w:rFonts w:ascii="宋体" w:hAnsi="宋体"/>
                <w:sz w:val="21"/>
                <w:szCs w:val="21"/>
              </w:rPr>
            </w:pPr>
            <w:r>
              <w:rPr>
                <w:rFonts w:hint="eastAsia" w:ascii="宋体" w:hAnsi="宋体"/>
                <w:sz w:val="21"/>
                <w:szCs w:val="21"/>
              </w:rPr>
              <w:t>通气管口</w:t>
            </w:r>
          </w:p>
        </w:tc>
        <w:tc>
          <w:tcPr>
            <w:tcW w:w="934" w:type="dxa"/>
            <w:vAlign w:val="center"/>
          </w:tcPr>
          <w:p w14:paraId="65828DC9">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7A76A082">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411" w:type="dxa"/>
            <w:vAlign w:val="center"/>
          </w:tcPr>
          <w:p w14:paraId="1F71E99E">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主</w:t>
            </w:r>
            <w:r>
              <w:rPr>
                <w:rFonts w:hint="eastAsia" w:ascii="宋体" w:hAnsi="宋体"/>
                <w:sz w:val="21"/>
                <w:szCs w:val="21"/>
              </w:rPr>
              <w:t>干路</w:t>
            </w:r>
          </w:p>
        </w:tc>
        <w:tc>
          <w:tcPr>
            <w:tcW w:w="1217" w:type="dxa"/>
            <w:vAlign w:val="center"/>
          </w:tcPr>
          <w:p w14:paraId="6D7A7F53">
            <w:pPr>
              <w:pStyle w:val="11"/>
              <w:spacing w:line="300" w:lineRule="exact"/>
              <w:ind w:firstLine="460" w:firstLineChars="200"/>
              <w:rPr>
                <w:rFonts w:ascii="宋体" w:hAnsi="宋体"/>
                <w:sz w:val="21"/>
                <w:szCs w:val="21"/>
              </w:rPr>
            </w:pPr>
            <w:r>
              <w:rPr>
                <w:rFonts w:ascii="宋体" w:hAnsi="宋体"/>
                <w:sz w:val="21"/>
                <w:szCs w:val="21"/>
              </w:rPr>
              <w:t>5</w:t>
            </w:r>
            <w:r>
              <w:rPr>
                <w:rFonts w:hint="eastAsia" w:ascii="宋体" w:hAnsi="宋体"/>
                <w:sz w:val="21"/>
                <w:szCs w:val="21"/>
                <w:lang w:val="en-US" w:eastAsia="zh-CN"/>
              </w:rPr>
              <w:t>.5</w:t>
            </w:r>
          </w:p>
        </w:tc>
        <w:tc>
          <w:tcPr>
            <w:tcW w:w="1170" w:type="dxa"/>
            <w:vAlign w:val="center"/>
          </w:tcPr>
          <w:p w14:paraId="63D38C95">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16.4</w:t>
            </w:r>
          </w:p>
        </w:tc>
      </w:tr>
      <w:tr w14:paraId="7D88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40FC15FC">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16E039AD">
            <w:pPr>
              <w:pStyle w:val="11"/>
              <w:spacing w:line="300" w:lineRule="exact"/>
              <w:ind w:firstLine="0" w:firstLineChars="0"/>
              <w:jc w:val="center"/>
              <w:rPr>
                <w:rFonts w:hint="eastAsia" w:ascii="宋体" w:hAnsi="宋体"/>
                <w:sz w:val="21"/>
                <w:szCs w:val="21"/>
              </w:rPr>
            </w:pPr>
          </w:p>
        </w:tc>
        <w:tc>
          <w:tcPr>
            <w:tcW w:w="934" w:type="dxa"/>
            <w:vAlign w:val="center"/>
          </w:tcPr>
          <w:p w14:paraId="18CB551A">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民房</w:t>
            </w:r>
          </w:p>
        </w:tc>
        <w:tc>
          <w:tcPr>
            <w:tcW w:w="849" w:type="dxa"/>
            <w:vAlign w:val="center"/>
          </w:tcPr>
          <w:p w14:paraId="081E3D41">
            <w:pPr>
              <w:jc w:val="center"/>
              <w:rPr>
                <w:rFonts w:hint="eastAsia" w:ascii="宋体" w:hAnsi="宋体"/>
                <w:szCs w:val="21"/>
              </w:rPr>
            </w:pPr>
            <w:r>
              <w:rPr>
                <w:rFonts w:hint="eastAsia" w:ascii="宋体" w:hAnsi="宋体"/>
                <w:szCs w:val="21"/>
                <w:lang w:val="en-US" w:eastAsia="zh-CN"/>
              </w:rPr>
              <w:t>东面</w:t>
            </w:r>
          </w:p>
        </w:tc>
        <w:tc>
          <w:tcPr>
            <w:tcW w:w="1411" w:type="dxa"/>
            <w:vAlign w:val="center"/>
          </w:tcPr>
          <w:p w14:paraId="01E94E00">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688EEE96">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6</w:t>
            </w:r>
          </w:p>
        </w:tc>
        <w:tc>
          <w:tcPr>
            <w:tcW w:w="1170" w:type="dxa"/>
            <w:vAlign w:val="center"/>
          </w:tcPr>
          <w:p w14:paraId="5A5F1DDD">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19.5</w:t>
            </w:r>
          </w:p>
        </w:tc>
      </w:tr>
      <w:tr w14:paraId="2A9E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52686861">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44CBCDA4">
            <w:pPr>
              <w:pStyle w:val="11"/>
              <w:spacing w:line="300" w:lineRule="exact"/>
              <w:ind w:firstLine="0" w:firstLineChars="0"/>
              <w:jc w:val="center"/>
              <w:rPr>
                <w:rFonts w:hint="eastAsia" w:ascii="宋体" w:hAnsi="宋体"/>
                <w:sz w:val="21"/>
                <w:szCs w:val="21"/>
              </w:rPr>
            </w:pPr>
          </w:p>
        </w:tc>
        <w:tc>
          <w:tcPr>
            <w:tcW w:w="934" w:type="dxa"/>
            <w:vAlign w:val="center"/>
          </w:tcPr>
          <w:p w14:paraId="374AA843">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洗车机</w:t>
            </w:r>
          </w:p>
        </w:tc>
        <w:tc>
          <w:tcPr>
            <w:tcW w:w="849" w:type="dxa"/>
            <w:vAlign w:val="center"/>
          </w:tcPr>
          <w:p w14:paraId="53563BC9">
            <w:pPr>
              <w:jc w:val="center"/>
              <w:rPr>
                <w:rFonts w:hint="eastAsia" w:ascii="宋体" w:hAnsi="宋体"/>
                <w:szCs w:val="21"/>
              </w:rPr>
            </w:pPr>
            <w:r>
              <w:rPr>
                <w:rFonts w:hint="eastAsia" w:ascii="宋体" w:hAnsi="宋体"/>
                <w:szCs w:val="21"/>
                <w:lang w:val="en-US" w:eastAsia="zh-CN"/>
              </w:rPr>
              <w:t>东面</w:t>
            </w:r>
          </w:p>
        </w:tc>
        <w:tc>
          <w:tcPr>
            <w:tcW w:w="1411" w:type="dxa"/>
            <w:vAlign w:val="center"/>
          </w:tcPr>
          <w:p w14:paraId="3CB09CA1">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0664EDEC">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6</w:t>
            </w:r>
          </w:p>
        </w:tc>
        <w:tc>
          <w:tcPr>
            <w:tcW w:w="1170" w:type="dxa"/>
            <w:vAlign w:val="center"/>
          </w:tcPr>
          <w:p w14:paraId="4DE71BDD">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13.3</w:t>
            </w:r>
          </w:p>
        </w:tc>
      </w:tr>
      <w:tr w14:paraId="39F3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4C8DD3FA">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7B623354">
            <w:pPr>
              <w:pStyle w:val="11"/>
              <w:spacing w:line="300" w:lineRule="exact"/>
              <w:ind w:firstLine="0" w:firstLineChars="0"/>
              <w:jc w:val="center"/>
              <w:rPr>
                <w:rFonts w:hint="eastAsia" w:ascii="宋体" w:hAnsi="宋体"/>
                <w:sz w:val="21"/>
                <w:szCs w:val="21"/>
              </w:rPr>
            </w:pPr>
          </w:p>
        </w:tc>
        <w:tc>
          <w:tcPr>
            <w:tcW w:w="934" w:type="dxa"/>
            <w:vAlign w:val="center"/>
          </w:tcPr>
          <w:p w14:paraId="3ECF4F4A">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架空电力线</w:t>
            </w:r>
          </w:p>
        </w:tc>
        <w:tc>
          <w:tcPr>
            <w:tcW w:w="849" w:type="dxa"/>
            <w:vAlign w:val="center"/>
          </w:tcPr>
          <w:p w14:paraId="6F1FB39D">
            <w:pPr>
              <w:jc w:val="center"/>
              <w:rPr>
                <w:rFonts w:hint="eastAsia" w:ascii="宋体" w:hAnsi="宋体"/>
                <w:szCs w:val="21"/>
              </w:rPr>
            </w:pPr>
            <w:r>
              <w:rPr>
                <w:rFonts w:hint="eastAsia" w:ascii="宋体" w:hAnsi="宋体"/>
                <w:szCs w:val="21"/>
                <w:lang w:val="en-US" w:eastAsia="zh-CN"/>
              </w:rPr>
              <w:t>北面</w:t>
            </w:r>
          </w:p>
        </w:tc>
        <w:tc>
          <w:tcPr>
            <w:tcW w:w="1411" w:type="dxa"/>
            <w:vAlign w:val="center"/>
          </w:tcPr>
          <w:p w14:paraId="51F3828E">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17" w:type="dxa"/>
            <w:vAlign w:val="center"/>
          </w:tcPr>
          <w:p w14:paraId="72E0908E">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5</w:t>
            </w:r>
          </w:p>
        </w:tc>
        <w:tc>
          <w:tcPr>
            <w:tcW w:w="1170" w:type="dxa"/>
            <w:vAlign w:val="center"/>
          </w:tcPr>
          <w:p w14:paraId="1D85442E">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33.8</w:t>
            </w:r>
          </w:p>
        </w:tc>
      </w:tr>
      <w:tr w14:paraId="71B1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vAlign w:val="center"/>
          </w:tcPr>
          <w:p w14:paraId="5AD19A70">
            <w:pPr>
              <w:pStyle w:val="11"/>
              <w:spacing w:line="300" w:lineRule="exact"/>
              <w:ind w:firstLine="218" w:firstLineChars="95"/>
              <w:jc w:val="center"/>
              <w:rPr>
                <w:rFonts w:ascii="宋体" w:hAnsi="宋体"/>
                <w:sz w:val="21"/>
                <w:szCs w:val="21"/>
              </w:rPr>
            </w:pPr>
            <w:r>
              <w:rPr>
                <w:rFonts w:hint="eastAsia" w:ascii="宋体" w:hAnsi="宋体"/>
                <w:sz w:val="21"/>
                <w:szCs w:val="21"/>
              </w:rPr>
              <w:t>3</w:t>
            </w:r>
          </w:p>
        </w:tc>
        <w:tc>
          <w:tcPr>
            <w:tcW w:w="1157" w:type="dxa"/>
            <w:vMerge w:val="restart"/>
            <w:vAlign w:val="center"/>
          </w:tcPr>
          <w:p w14:paraId="0A3CE300">
            <w:pPr>
              <w:spacing w:line="300" w:lineRule="exact"/>
              <w:jc w:val="center"/>
              <w:rPr>
                <w:rFonts w:ascii="宋体" w:hAnsi="宋体"/>
                <w:szCs w:val="21"/>
              </w:rPr>
            </w:pPr>
            <w:r>
              <w:rPr>
                <w:rFonts w:hint="eastAsia" w:ascii="宋体" w:hAnsi="宋体"/>
                <w:szCs w:val="21"/>
              </w:rPr>
              <w:t>加油机</w:t>
            </w:r>
          </w:p>
        </w:tc>
        <w:tc>
          <w:tcPr>
            <w:tcW w:w="934" w:type="dxa"/>
            <w:vAlign w:val="center"/>
          </w:tcPr>
          <w:p w14:paraId="2EC9F51A">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664DA486">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411" w:type="dxa"/>
            <w:vAlign w:val="center"/>
          </w:tcPr>
          <w:p w14:paraId="78A08CF7">
            <w:pPr>
              <w:pStyle w:val="11"/>
              <w:spacing w:line="300" w:lineRule="exact"/>
              <w:ind w:firstLine="0" w:firstLineChars="0"/>
              <w:jc w:val="center"/>
              <w:rPr>
                <w:rFonts w:ascii="宋体" w:hAnsi="宋体"/>
                <w:szCs w:val="21"/>
              </w:rPr>
            </w:pPr>
            <w:r>
              <w:rPr>
                <w:rFonts w:hint="eastAsia" w:ascii="宋体" w:hAnsi="宋体"/>
                <w:sz w:val="21"/>
                <w:szCs w:val="21"/>
                <w:lang w:val="en-US" w:eastAsia="zh-CN"/>
              </w:rPr>
              <w:t>主</w:t>
            </w:r>
            <w:r>
              <w:rPr>
                <w:rFonts w:hint="eastAsia" w:ascii="宋体" w:hAnsi="宋体"/>
                <w:sz w:val="21"/>
                <w:szCs w:val="21"/>
              </w:rPr>
              <w:t>干路</w:t>
            </w:r>
          </w:p>
        </w:tc>
        <w:tc>
          <w:tcPr>
            <w:tcW w:w="1217" w:type="dxa"/>
            <w:vAlign w:val="center"/>
          </w:tcPr>
          <w:p w14:paraId="4A176134">
            <w:pPr>
              <w:pStyle w:val="11"/>
              <w:spacing w:line="300" w:lineRule="exact"/>
              <w:ind w:firstLine="460" w:firstLineChars="200"/>
              <w:rPr>
                <w:rFonts w:ascii="宋体" w:hAnsi="宋体"/>
                <w:sz w:val="21"/>
                <w:szCs w:val="21"/>
              </w:rPr>
            </w:pPr>
            <w:r>
              <w:rPr>
                <w:rFonts w:ascii="宋体" w:hAnsi="宋体"/>
                <w:sz w:val="21"/>
                <w:szCs w:val="21"/>
              </w:rPr>
              <w:t>5</w:t>
            </w:r>
            <w:r>
              <w:rPr>
                <w:rFonts w:hint="eastAsia" w:ascii="宋体" w:hAnsi="宋体"/>
                <w:sz w:val="21"/>
                <w:szCs w:val="21"/>
                <w:lang w:val="en-US" w:eastAsia="zh-CN"/>
              </w:rPr>
              <w:t>.5</w:t>
            </w:r>
          </w:p>
        </w:tc>
        <w:tc>
          <w:tcPr>
            <w:tcW w:w="1170" w:type="dxa"/>
            <w:vAlign w:val="center"/>
          </w:tcPr>
          <w:p w14:paraId="1F757AD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7.8</w:t>
            </w:r>
          </w:p>
        </w:tc>
      </w:tr>
      <w:tr w14:paraId="71AA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1673D3F5">
            <w:pPr>
              <w:pStyle w:val="11"/>
              <w:spacing w:line="300" w:lineRule="exact"/>
              <w:ind w:firstLine="218" w:firstLineChars="95"/>
              <w:jc w:val="center"/>
              <w:rPr>
                <w:rFonts w:ascii="宋体" w:hAnsi="宋体"/>
                <w:sz w:val="21"/>
                <w:szCs w:val="21"/>
              </w:rPr>
            </w:pPr>
          </w:p>
        </w:tc>
        <w:tc>
          <w:tcPr>
            <w:tcW w:w="1157" w:type="dxa"/>
            <w:vMerge w:val="continue"/>
            <w:vAlign w:val="center"/>
          </w:tcPr>
          <w:p w14:paraId="191112E2">
            <w:pPr>
              <w:spacing w:line="300" w:lineRule="exact"/>
              <w:jc w:val="center"/>
              <w:rPr>
                <w:rFonts w:ascii="宋体" w:hAnsi="宋体"/>
                <w:szCs w:val="21"/>
              </w:rPr>
            </w:pPr>
          </w:p>
        </w:tc>
        <w:tc>
          <w:tcPr>
            <w:tcW w:w="934" w:type="dxa"/>
            <w:vAlign w:val="center"/>
          </w:tcPr>
          <w:p w14:paraId="3E0137BC">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民房</w:t>
            </w:r>
          </w:p>
        </w:tc>
        <w:tc>
          <w:tcPr>
            <w:tcW w:w="849" w:type="dxa"/>
            <w:vAlign w:val="center"/>
          </w:tcPr>
          <w:p w14:paraId="0CBCD2F3">
            <w:pPr>
              <w:jc w:val="center"/>
              <w:rPr>
                <w:rFonts w:ascii="宋体" w:hAnsi="宋体"/>
                <w:szCs w:val="21"/>
              </w:rPr>
            </w:pPr>
            <w:r>
              <w:rPr>
                <w:rFonts w:hint="eastAsia" w:ascii="宋体" w:hAnsi="宋体"/>
                <w:szCs w:val="21"/>
                <w:lang w:val="en-US" w:eastAsia="zh-CN"/>
              </w:rPr>
              <w:t>东面</w:t>
            </w:r>
          </w:p>
        </w:tc>
        <w:tc>
          <w:tcPr>
            <w:tcW w:w="1411" w:type="dxa"/>
            <w:vAlign w:val="center"/>
          </w:tcPr>
          <w:p w14:paraId="453DFC53">
            <w:pPr>
              <w:pStyle w:val="11"/>
              <w:spacing w:line="300" w:lineRule="exact"/>
              <w:ind w:firstLine="0" w:firstLineChars="0"/>
              <w:jc w:val="center"/>
              <w:rPr>
                <w:rFonts w:ascii="宋体" w:hAnsi="宋体"/>
                <w:sz w:val="21"/>
                <w:szCs w:val="21"/>
              </w:rPr>
            </w:pPr>
            <w:r>
              <w:rPr>
                <w:rFonts w:hint="eastAsia" w:ascii="宋体" w:hAnsi="宋体"/>
                <w:sz w:val="21"/>
                <w:szCs w:val="21"/>
              </w:rPr>
              <w:t>三类</w:t>
            </w:r>
          </w:p>
        </w:tc>
        <w:tc>
          <w:tcPr>
            <w:tcW w:w="1217" w:type="dxa"/>
            <w:vAlign w:val="center"/>
          </w:tcPr>
          <w:p w14:paraId="5C36F4C1">
            <w:pPr>
              <w:pStyle w:val="11"/>
              <w:spacing w:line="300" w:lineRule="exact"/>
              <w:ind w:firstLine="460" w:firstLineChars="200"/>
              <w:rPr>
                <w:rFonts w:ascii="宋体" w:hAnsi="宋体"/>
                <w:sz w:val="21"/>
                <w:szCs w:val="21"/>
              </w:rPr>
            </w:pPr>
            <w:r>
              <w:rPr>
                <w:rFonts w:hint="eastAsia" w:ascii="宋体" w:hAnsi="宋体"/>
                <w:sz w:val="21"/>
                <w:szCs w:val="21"/>
                <w:lang w:val="en-US" w:eastAsia="zh-CN"/>
              </w:rPr>
              <w:t>6</w:t>
            </w:r>
          </w:p>
        </w:tc>
        <w:tc>
          <w:tcPr>
            <w:tcW w:w="1170" w:type="dxa"/>
            <w:vAlign w:val="center"/>
          </w:tcPr>
          <w:p w14:paraId="70A25532">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13.3</w:t>
            </w:r>
          </w:p>
        </w:tc>
      </w:tr>
      <w:tr w14:paraId="724F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52F675F8">
            <w:pPr>
              <w:pStyle w:val="11"/>
              <w:spacing w:line="300" w:lineRule="exact"/>
              <w:ind w:firstLine="218" w:firstLineChars="95"/>
              <w:jc w:val="center"/>
              <w:rPr>
                <w:rFonts w:ascii="宋体" w:hAnsi="宋体"/>
                <w:sz w:val="21"/>
                <w:szCs w:val="21"/>
              </w:rPr>
            </w:pPr>
          </w:p>
        </w:tc>
        <w:tc>
          <w:tcPr>
            <w:tcW w:w="1157" w:type="dxa"/>
            <w:vMerge w:val="continue"/>
            <w:vAlign w:val="center"/>
          </w:tcPr>
          <w:p w14:paraId="1CE16309">
            <w:pPr>
              <w:spacing w:line="300" w:lineRule="exact"/>
              <w:jc w:val="center"/>
              <w:rPr>
                <w:rFonts w:ascii="宋体" w:hAnsi="宋体"/>
                <w:szCs w:val="21"/>
              </w:rPr>
            </w:pPr>
          </w:p>
        </w:tc>
        <w:tc>
          <w:tcPr>
            <w:tcW w:w="934" w:type="dxa"/>
            <w:vAlign w:val="center"/>
          </w:tcPr>
          <w:p w14:paraId="29DC5C34">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洗车机</w:t>
            </w:r>
          </w:p>
        </w:tc>
        <w:tc>
          <w:tcPr>
            <w:tcW w:w="849" w:type="dxa"/>
            <w:vAlign w:val="center"/>
          </w:tcPr>
          <w:p w14:paraId="5F22C149">
            <w:pPr>
              <w:jc w:val="center"/>
              <w:rPr>
                <w:rFonts w:hint="eastAsia" w:ascii="宋体" w:hAnsi="宋体"/>
                <w:szCs w:val="21"/>
              </w:rPr>
            </w:pPr>
            <w:r>
              <w:rPr>
                <w:rFonts w:hint="eastAsia" w:ascii="宋体" w:hAnsi="宋体"/>
                <w:szCs w:val="21"/>
                <w:lang w:val="en-US" w:eastAsia="zh-CN"/>
              </w:rPr>
              <w:t>东面</w:t>
            </w:r>
          </w:p>
        </w:tc>
        <w:tc>
          <w:tcPr>
            <w:tcW w:w="1411" w:type="dxa"/>
            <w:vAlign w:val="center"/>
          </w:tcPr>
          <w:p w14:paraId="1E4636CB">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17" w:type="dxa"/>
            <w:vAlign w:val="center"/>
          </w:tcPr>
          <w:p w14:paraId="4641462B">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7</w:t>
            </w:r>
          </w:p>
        </w:tc>
        <w:tc>
          <w:tcPr>
            <w:tcW w:w="1170" w:type="dxa"/>
            <w:vAlign w:val="center"/>
          </w:tcPr>
          <w:p w14:paraId="628016A7">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19.5</w:t>
            </w:r>
          </w:p>
        </w:tc>
      </w:tr>
      <w:tr w14:paraId="29C4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1C749BE7">
            <w:pPr>
              <w:pStyle w:val="11"/>
              <w:spacing w:line="300" w:lineRule="exact"/>
              <w:ind w:firstLine="218" w:firstLineChars="95"/>
              <w:jc w:val="center"/>
              <w:rPr>
                <w:rFonts w:ascii="宋体" w:hAnsi="宋体"/>
                <w:sz w:val="21"/>
                <w:szCs w:val="21"/>
              </w:rPr>
            </w:pPr>
          </w:p>
        </w:tc>
        <w:tc>
          <w:tcPr>
            <w:tcW w:w="1157" w:type="dxa"/>
            <w:vMerge w:val="continue"/>
            <w:vAlign w:val="center"/>
          </w:tcPr>
          <w:p w14:paraId="1EBA5B5C">
            <w:pPr>
              <w:spacing w:line="300" w:lineRule="exact"/>
              <w:jc w:val="center"/>
              <w:rPr>
                <w:rFonts w:ascii="宋体" w:hAnsi="宋体"/>
                <w:szCs w:val="21"/>
              </w:rPr>
            </w:pPr>
          </w:p>
        </w:tc>
        <w:tc>
          <w:tcPr>
            <w:tcW w:w="934" w:type="dxa"/>
            <w:vAlign w:val="center"/>
          </w:tcPr>
          <w:p w14:paraId="40FB6A91">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架空电力线</w:t>
            </w:r>
          </w:p>
        </w:tc>
        <w:tc>
          <w:tcPr>
            <w:tcW w:w="849" w:type="dxa"/>
            <w:vAlign w:val="center"/>
          </w:tcPr>
          <w:p w14:paraId="30350D41">
            <w:pPr>
              <w:jc w:val="center"/>
              <w:rPr>
                <w:rFonts w:hint="eastAsia" w:ascii="宋体" w:hAnsi="宋体"/>
                <w:szCs w:val="21"/>
              </w:rPr>
            </w:pPr>
            <w:r>
              <w:rPr>
                <w:rFonts w:hint="eastAsia" w:ascii="宋体" w:hAnsi="宋体"/>
                <w:szCs w:val="21"/>
                <w:lang w:val="en-US" w:eastAsia="zh-CN"/>
              </w:rPr>
              <w:t>北面</w:t>
            </w:r>
          </w:p>
        </w:tc>
        <w:tc>
          <w:tcPr>
            <w:tcW w:w="1411" w:type="dxa"/>
            <w:vAlign w:val="center"/>
          </w:tcPr>
          <w:p w14:paraId="0B4D72D6">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17" w:type="dxa"/>
            <w:vAlign w:val="center"/>
          </w:tcPr>
          <w:p w14:paraId="2FE876F8">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5</w:t>
            </w:r>
          </w:p>
        </w:tc>
        <w:tc>
          <w:tcPr>
            <w:tcW w:w="1170" w:type="dxa"/>
            <w:vAlign w:val="center"/>
          </w:tcPr>
          <w:p w14:paraId="5657AD73">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25.6</w:t>
            </w:r>
          </w:p>
        </w:tc>
      </w:tr>
      <w:tr w14:paraId="0FCE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930" w:type="dxa"/>
            <w:gridSpan w:val="2"/>
            <w:vAlign w:val="center"/>
          </w:tcPr>
          <w:p w14:paraId="34776C52">
            <w:pPr>
              <w:pStyle w:val="17"/>
              <w:spacing w:line="300" w:lineRule="exact"/>
              <w:jc w:val="center"/>
              <w:rPr>
                <w:rFonts w:ascii="宋体" w:hAnsi="宋体"/>
                <w:szCs w:val="21"/>
              </w:rPr>
            </w:pPr>
            <w:r>
              <w:rPr>
                <w:rFonts w:hint="eastAsia" w:ascii="宋体" w:hAnsi="宋体"/>
                <w:szCs w:val="21"/>
              </w:rPr>
              <w:t>备注</w:t>
            </w:r>
          </w:p>
        </w:tc>
        <w:tc>
          <w:tcPr>
            <w:tcW w:w="5581" w:type="dxa"/>
            <w:gridSpan w:val="5"/>
            <w:vAlign w:val="center"/>
          </w:tcPr>
          <w:p w14:paraId="137F6EFB">
            <w:pPr>
              <w:widowControl/>
              <w:spacing w:line="300" w:lineRule="exact"/>
              <w:rPr>
                <w:rFonts w:ascii="宋体" w:hAnsi="宋体"/>
                <w:szCs w:val="21"/>
              </w:rPr>
            </w:pPr>
            <w:r>
              <w:rPr>
                <w:rFonts w:ascii="宋体" w:hAnsi="宋体"/>
                <w:szCs w:val="21"/>
              </w:rPr>
              <w:t>1.</w:t>
            </w:r>
            <w:r>
              <w:rPr>
                <w:rFonts w:hint="eastAsia" w:ascii="宋体" w:hAnsi="宋体"/>
                <w:szCs w:val="21"/>
              </w:rPr>
              <w:t>加油站为三级站、有卸油、加油油气回收系统；</w:t>
            </w:r>
          </w:p>
          <w:p w14:paraId="5A6D7ED0">
            <w:pPr>
              <w:widowControl/>
              <w:spacing w:line="300" w:lineRule="exact"/>
              <w:rPr>
                <w:rFonts w:ascii="宋体" w:hAnsi="宋体"/>
                <w:szCs w:val="21"/>
              </w:rPr>
            </w:pPr>
            <w:r>
              <w:rPr>
                <w:rFonts w:hint="eastAsia" w:ascii="宋体" w:hAnsi="宋体"/>
                <w:szCs w:val="21"/>
              </w:rPr>
              <w:t>2.</w:t>
            </w:r>
            <w:r>
              <w:rPr>
                <w:rFonts w:ascii="宋体" w:hAnsi="宋体"/>
                <w:szCs w:val="21"/>
              </w:rPr>
              <w:t>加油站除面向公路一侧开敞，其余几面拟设置实体围墙；</w:t>
            </w:r>
          </w:p>
          <w:p w14:paraId="1E26ECB4">
            <w:pPr>
              <w:widowControl/>
              <w:spacing w:line="300" w:lineRule="exact"/>
              <w:rPr>
                <w:rFonts w:ascii="宋体" w:hAnsi="宋体"/>
                <w:szCs w:val="21"/>
              </w:rPr>
            </w:pPr>
            <w:r>
              <w:rPr>
                <w:rFonts w:hint="eastAsia" w:ascii="宋体" w:hAnsi="宋体"/>
                <w:szCs w:val="21"/>
              </w:rPr>
              <w:t>3.加油站周围无特殊名胜、风景、旅游，动植物及水生物保护区等环境保护敏感点。</w:t>
            </w:r>
          </w:p>
          <w:p w14:paraId="77F91323">
            <w:pPr>
              <w:widowControl/>
              <w:spacing w:line="300" w:lineRule="exact"/>
              <w:rPr>
                <w:rFonts w:ascii="宋体" w:hAnsi="宋体"/>
                <w:szCs w:val="21"/>
              </w:rPr>
            </w:pPr>
            <w:r>
              <w:rPr>
                <w:rFonts w:hint="eastAsia" w:ascii="宋体" w:hAnsi="宋体"/>
                <w:szCs w:val="21"/>
              </w:rPr>
              <w:t>4</w:t>
            </w:r>
            <w:r>
              <w:rPr>
                <w:rFonts w:ascii="宋体" w:hAnsi="宋体"/>
                <w:szCs w:val="21"/>
              </w:rPr>
              <w:t>.其余建筑物防火距离不涉及。</w:t>
            </w:r>
          </w:p>
        </w:tc>
      </w:tr>
    </w:tbl>
    <w:p w14:paraId="4E32D597">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2.3自然条件</w:t>
      </w:r>
      <w:bookmarkEnd w:id="92"/>
    </w:p>
    <w:p w14:paraId="479B24D8">
      <w:pPr>
        <w:pStyle w:val="11"/>
        <w:ind w:firstLine="600"/>
        <w:rPr>
          <w:rFonts w:ascii="宋体" w:hAnsi="宋体"/>
          <w:color w:val="000000"/>
          <w:sz w:val="28"/>
          <w:szCs w:val="24"/>
        </w:rPr>
      </w:pPr>
      <w:bookmarkStart w:id="95" w:name="_Hlk534364513"/>
      <w:bookmarkStart w:id="96" w:name="_Toc71894873"/>
      <w:r>
        <w:rPr>
          <w:rFonts w:hint="eastAsia" w:ascii="宋体" w:hAnsi="宋体"/>
          <w:sz w:val="28"/>
          <w:szCs w:val="28"/>
        </w:rPr>
        <w:t>加油站区域内主要分布有亚热带常绿阔叶林、针阔混交林、次生林、低矮常绿植物和旱地。整个流域植被覆盖率约为50%，流域内人口较多，生活及农田用水量较大，区域内人类活动较为频繁。整个流域属中山地区典型的亚热带立体气候。</w:t>
      </w:r>
      <w:r>
        <w:rPr>
          <w:rFonts w:ascii="宋体" w:hAnsi="宋体"/>
          <w:color w:val="000000"/>
          <w:spacing w:val="8"/>
          <w:sz w:val="28"/>
          <w:szCs w:val="28"/>
        </w:rPr>
        <w:t>县境南北狭长，东西略窄，最大纵距61.75公里，最大横距43.5公里。由于特殊的地理环境，形成了“一山有四季，十里不同天”的立体气候，夏季炎热，冬季湿润、偏暖，四季较为分明。据气象部门统计，年平均气温为17.2°C，极端最高气温41.8</w:t>
      </w:r>
      <w:r>
        <w:rPr>
          <w:rFonts w:hint="eastAsia" w:ascii="宋体" w:hAnsi="宋体" w:cs="宋体"/>
          <w:color w:val="000000"/>
          <w:spacing w:val="8"/>
          <w:sz w:val="28"/>
          <w:szCs w:val="28"/>
        </w:rPr>
        <w:t>℃</w:t>
      </w:r>
      <w:r>
        <w:rPr>
          <w:rFonts w:ascii="宋体" w:hAnsi="宋体"/>
          <w:color w:val="000000"/>
          <w:spacing w:val="8"/>
          <w:sz w:val="28"/>
          <w:szCs w:val="28"/>
        </w:rPr>
        <w:t>，最低气温-2.5</w:t>
      </w:r>
      <w:r>
        <w:rPr>
          <w:rFonts w:hint="eastAsia" w:ascii="宋体" w:hAnsi="宋体" w:cs="宋体"/>
          <w:color w:val="000000"/>
          <w:spacing w:val="8"/>
          <w:sz w:val="28"/>
          <w:szCs w:val="28"/>
        </w:rPr>
        <w:t>℃</w:t>
      </w:r>
      <w:r>
        <w:rPr>
          <w:rFonts w:ascii="宋体" w:hAnsi="宋体"/>
          <w:color w:val="000000"/>
          <w:spacing w:val="8"/>
          <w:sz w:val="28"/>
          <w:szCs w:val="28"/>
        </w:rPr>
        <w:t>，年降雨量1226.2毫米，年日照在841-1170小时之间</w:t>
      </w:r>
      <w:r>
        <w:rPr>
          <w:rFonts w:hint="eastAsia" w:ascii="宋体" w:hAnsi="宋体"/>
          <w:color w:val="000000"/>
          <w:spacing w:val="8"/>
          <w:sz w:val="28"/>
          <w:szCs w:val="28"/>
        </w:rPr>
        <w:t>。常年主导风向为西北风</w:t>
      </w:r>
      <w:r>
        <w:rPr>
          <w:rFonts w:hint="eastAsia" w:ascii="宋体" w:hAnsi="宋体"/>
          <w:color w:val="000000"/>
          <w:sz w:val="28"/>
          <w:szCs w:val="28"/>
        </w:rPr>
        <w:t>。</w:t>
      </w:r>
    </w:p>
    <w:bookmarkEnd w:id="95"/>
    <w:p w14:paraId="3D6DB629">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2.4地形、地貌、地质条件</w:t>
      </w:r>
      <w:bookmarkEnd w:id="96"/>
    </w:p>
    <w:p w14:paraId="20C6DA94">
      <w:pPr>
        <w:ind w:firstLine="570"/>
        <w:rPr>
          <w:rFonts w:ascii="宋体" w:hAnsi="宋体"/>
          <w:sz w:val="28"/>
        </w:rPr>
      </w:pPr>
      <w:r>
        <w:rPr>
          <w:rFonts w:hint="eastAsia" w:ascii="宋体" w:hAnsi="宋体"/>
          <w:sz w:val="28"/>
          <w:szCs w:val="32"/>
        </w:rPr>
        <w:t>加油站未提供《工程地质勘察报告》，根据安全验收评价报告和现场查看，建设场地为平地，加油站后面为白水江，在雨季时应注意有洪水淹没危险。</w:t>
      </w:r>
    </w:p>
    <w:p w14:paraId="5283D944">
      <w:pPr>
        <w:spacing w:line="360" w:lineRule="auto"/>
        <w:ind w:firstLine="560" w:firstLineChars="200"/>
        <w:rPr>
          <w:rFonts w:ascii="宋体" w:hAnsi="宋体"/>
          <w:color w:val="000000"/>
          <w:sz w:val="28"/>
        </w:rPr>
      </w:pPr>
      <w:r>
        <w:rPr>
          <w:rFonts w:hint="eastAsia" w:ascii="宋体" w:hAnsi="宋体"/>
          <w:sz w:val="28"/>
          <w:szCs w:val="32"/>
        </w:rPr>
        <w:t>场地地层主要为沙土,地质密度高，稳定性好，基岩卵石层，质地坚硬，稳定性好；场地开阔，但是加油站应注意雨季发生泥石流</w:t>
      </w:r>
      <w:r>
        <w:rPr>
          <w:color w:val="000000"/>
          <w:kern w:val="3"/>
          <w:sz w:val="28"/>
          <w:szCs w:val="28"/>
        </w:rPr>
        <w:t>、</w:t>
      </w:r>
      <w:r>
        <w:rPr>
          <w:rFonts w:hint="eastAsia"/>
          <w:color w:val="000000"/>
          <w:kern w:val="3"/>
          <w:sz w:val="28"/>
          <w:szCs w:val="28"/>
        </w:rPr>
        <w:t>滑坡等不良地质现象</w:t>
      </w:r>
      <w:r>
        <w:rPr>
          <w:rFonts w:hint="eastAsia" w:ascii="宋体" w:hAnsi="宋体" w:cs="宋体"/>
          <w:kern w:val="0"/>
          <w:sz w:val="28"/>
          <w:szCs w:val="28"/>
        </w:rPr>
        <w:t>。</w:t>
      </w:r>
    </w:p>
    <w:p w14:paraId="1432121C">
      <w:pPr>
        <w:pStyle w:val="11"/>
        <w:ind w:firstLine="600"/>
        <w:rPr>
          <w:rFonts w:ascii="宋体" w:hAnsi="宋体"/>
          <w:sz w:val="28"/>
          <w:szCs w:val="30"/>
        </w:rPr>
      </w:pPr>
      <w:r>
        <w:rPr>
          <w:rFonts w:hint="eastAsia"/>
          <w:sz w:val="28"/>
          <w:szCs w:val="28"/>
        </w:rPr>
        <w:t>区域未发生大的强烈地震，但</w:t>
      </w:r>
      <w:r>
        <w:rPr>
          <w:rFonts w:hint="eastAsia"/>
          <w:sz w:val="28"/>
        </w:rPr>
        <w:t>周边强震会波及和影响站区，根据《中国地震动参数区划图》站区地震动峰值加速度为0.1g，地震基本烈度值为7度。建筑物按此标准抗震设防</w:t>
      </w:r>
      <w:r>
        <w:rPr>
          <w:rFonts w:hint="eastAsia" w:ascii="宋体" w:hAnsi="宋体"/>
          <w:sz w:val="28"/>
          <w:szCs w:val="28"/>
        </w:rPr>
        <w:t>。</w:t>
      </w:r>
    </w:p>
    <w:p w14:paraId="0015C747">
      <w:pPr>
        <w:pStyle w:val="4"/>
        <w:spacing w:afterLines="100" w:line="500" w:lineRule="exact"/>
        <w:jc w:val="center"/>
        <w:rPr>
          <w:rFonts w:ascii="楷体_GB2312" w:hAnsi="宋体" w:eastAsia="楷体_GB2312"/>
          <w:kern w:val="3"/>
        </w:rPr>
      </w:pPr>
      <w:bookmarkStart w:id="97" w:name="_Toc71894874"/>
      <w:r>
        <w:rPr>
          <w:rFonts w:hint="eastAsia" w:ascii="楷体_GB2312" w:hAnsi="宋体" w:eastAsia="楷体_GB2312"/>
          <w:kern w:val="3"/>
        </w:rPr>
        <w:t>2.5 加油站总平面布置</w:t>
      </w:r>
      <w:bookmarkEnd w:id="97"/>
    </w:p>
    <w:p w14:paraId="11714A60">
      <w:pPr>
        <w:ind w:firstLine="420"/>
        <w:rPr>
          <w:rFonts w:hint="eastAsia" w:ascii="宋体" w:hAnsi="宋体"/>
          <w:color w:val="000000"/>
          <w:sz w:val="28"/>
          <w:szCs w:val="28"/>
        </w:rPr>
      </w:pPr>
      <w:bookmarkStart w:id="98" w:name="_Toc71894875"/>
      <w:r>
        <w:rPr>
          <w:rFonts w:hint="eastAsia" w:ascii="宋体" w:hAnsi="宋体"/>
          <w:kern w:val="3"/>
          <w:sz w:val="28"/>
          <w:szCs w:val="28"/>
          <w:lang w:eastAsia="zh-CN"/>
        </w:rPr>
        <w:t>盐津县豆沙狮子湾加油站</w:t>
      </w:r>
      <w:r>
        <w:rPr>
          <w:rFonts w:hint="eastAsia" w:ascii="宋体" w:hAnsi="宋体"/>
          <w:kern w:val="3"/>
          <w:sz w:val="28"/>
          <w:szCs w:val="28"/>
        </w:rPr>
        <w:t>占地面积</w:t>
      </w:r>
      <w:r>
        <w:rPr>
          <w:rFonts w:hint="eastAsia"/>
          <w:color w:val="000000"/>
          <w:kern w:val="3"/>
          <w:sz w:val="28"/>
          <w:szCs w:val="28"/>
          <w:lang w:val="en-US" w:eastAsia="zh-CN"/>
        </w:rPr>
        <w:t>973.83</w:t>
      </w:r>
      <w:r>
        <w:rPr>
          <w:rFonts w:hint="eastAsia"/>
          <w:color w:val="000000"/>
          <w:kern w:val="3"/>
          <w:sz w:val="28"/>
          <w:szCs w:val="28"/>
        </w:rPr>
        <w:t>㎡，</w:t>
      </w:r>
      <w:r>
        <w:rPr>
          <w:rFonts w:ascii="宋体" w:hAnsi="宋体"/>
          <w:kern w:val="3"/>
          <w:sz w:val="28"/>
          <w:szCs w:val="28"/>
        </w:rPr>
        <w:t>主要包括油罐区、加油区、站房</w:t>
      </w:r>
      <w:r>
        <w:rPr>
          <w:rFonts w:hint="eastAsia" w:ascii="宋体" w:hAnsi="宋体"/>
          <w:kern w:val="3"/>
          <w:sz w:val="28"/>
          <w:szCs w:val="28"/>
        </w:rPr>
        <w:t>、</w:t>
      </w:r>
      <w:r>
        <w:rPr>
          <w:rFonts w:ascii="宋体" w:hAnsi="宋体"/>
          <w:kern w:val="3"/>
          <w:sz w:val="28"/>
          <w:szCs w:val="28"/>
        </w:rPr>
        <w:t>和辅助设施区</w:t>
      </w:r>
      <w:r>
        <w:rPr>
          <w:rFonts w:hint="eastAsia" w:ascii="宋体" w:hAnsi="宋体"/>
          <w:kern w:val="3"/>
          <w:sz w:val="28"/>
          <w:szCs w:val="28"/>
        </w:rPr>
        <w:t>。总平面布置图详见</w:t>
      </w:r>
      <w:r>
        <w:rPr>
          <w:rFonts w:hint="eastAsia" w:ascii="宋体" w:hAnsi="宋体"/>
          <w:kern w:val="3"/>
          <w:sz w:val="28"/>
          <w:szCs w:val="28"/>
          <w:lang w:val="en-US" w:eastAsia="zh-CN"/>
        </w:rPr>
        <w:t>附件</w:t>
      </w:r>
      <w:r>
        <w:rPr>
          <w:rFonts w:hint="eastAsia" w:ascii="宋体" w:hAnsi="宋体"/>
          <w:color w:val="000000"/>
          <w:sz w:val="28"/>
          <w:szCs w:val="28"/>
        </w:rPr>
        <w:t>。</w:t>
      </w:r>
    </w:p>
    <w:p w14:paraId="3C72D2E5">
      <w:pPr>
        <w:spacing w:line="500" w:lineRule="exact"/>
        <w:ind w:firstLine="560" w:firstLineChars="200"/>
        <w:rPr>
          <w:rFonts w:ascii="宋体" w:hAnsi="宋体"/>
          <w:b/>
          <w:color w:val="000000"/>
          <w:sz w:val="28"/>
          <w:szCs w:val="28"/>
        </w:rPr>
      </w:pPr>
      <w:r>
        <w:rPr>
          <w:rFonts w:hint="eastAsia" w:ascii="宋体" w:hAnsi="宋体"/>
          <w:color w:val="000000"/>
          <w:sz w:val="28"/>
          <w:szCs w:val="28"/>
          <w:lang w:eastAsia="zh-CN"/>
        </w:rPr>
        <w:t>盐津县豆沙狮子湾加油站</w:t>
      </w:r>
      <w:r>
        <w:rPr>
          <w:rFonts w:hint="eastAsia" w:ascii="宋体" w:hAnsi="宋体"/>
          <w:color w:val="000000"/>
          <w:sz w:val="28"/>
          <w:szCs w:val="28"/>
        </w:rPr>
        <w:t>两端设进出车道，进、出口道路为敞开式，宽度大于9m。站内设</w:t>
      </w:r>
      <w:r>
        <w:rPr>
          <w:rFonts w:hint="eastAsia" w:ascii="宋体" w:hAnsi="宋体"/>
          <w:color w:val="000000"/>
          <w:sz w:val="28"/>
          <w:szCs w:val="28"/>
          <w:lang w:val="en-US" w:eastAsia="zh-CN"/>
        </w:rPr>
        <w:t>3</w:t>
      </w:r>
      <w:r>
        <w:rPr>
          <w:rFonts w:hint="eastAsia" w:ascii="宋体" w:hAnsi="宋体"/>
          <w:color w:val="000000"/>
          <w:sz w:val="28"/>
          <w:szCs w:val="28"/>
        </w:rPr>
        <w:t>条双车道，车道宽度分别为</w:t>
      </w:r>
      <w:r>
        <w:rPr>
          <w:rFonts w:hint="eastAsia" w:ascii="宋体" w:hAnsi="宋体"/>
          <w:color w:val="000000"/>
          <w:sz w:val="28"/>
          <w:szCs w:val="28"/>
          <w:lang w:val="en-US" w:eastAsia="zh-CN"/>
        </w:rPr>
        <w:t>5</w:t>
      </w:r>
      <w:r>
        <w:rPr>
          <w:rFonts w:hint="eastAsia" w:ascii="宋体" w:hAnsi="宋体"/>
          <w:color w:val="000000"/>
          <w:sz w:val="28"/>
          <w:szCs w:val="28"/>
        </w:rPr>
        <w:t>m、</w:t>
      </w:r>
      <w:r>
        <w:rPr>
          <w:rFonts w:hint="eastAsia" w:ascii="宋体" w:hAnsi="宋体"/>
          <w:color w:val="000000"/>
          <w:sz w:val="28"/>
          <w:szCs w:val="28"/>
          <w:lang w:val="en-US" w:eastAsia="zh-CN"/>
        </w:rPr>
        <w:t>5.7</w:t>
      </w:r>
      <w:r>
        <w:rPr>
          <w:rFonts w:ascii="宋体" w:hAnsi="宋体"/>
          <w:color w:val="000000"/>
          <w:sz w:val="28"/>
          <w:szCs w:val="28"/>
        </w:rPr>
        <w:t>m</w:t>
      </w:r>
      <w:r>
        <w:rPr>
          <w:rFonts w:hint="eastAsia" w:ascii="宋体" w:hAnsi="宋体"/>
          <w:color w:val="000000"/>
          <w:sz w:val="28"/>
          <w:szCs w:val="28"/>
        </w:rPr>
        <w:t>、</w:t>
      </w:r>
      <w:r>
        <w:rPr>
          <w:rFonts w:hint="eastAsia" w:ascii="宋体" w:hAnsi="宋体"/>
          <w:color w:val="000000"/>
          <w:sz w:val="28"/>
          <w:szCs w:val="28"/>
          <w:lang w:val="en-US" w:eastAsia="zh-CN"/>
        </w:rPr>
        <w:t>6.7</w:t>
      </w:r>
      <w:r>
        <w:rPr>
          <w:rFonts w:ascii="宋体" w:hAnsi="宋体"/>
          <w:color w:val="000000"/>
          <w:sz w:val="28"/>
          <w:szCs w:val="28"/>
        </w:rPr>
        <w:t>m</w:t>
      </w:r>
      <w:r>
        <w:rPr>
          <w:rFonts w:hint="eastAsia" w:ascii="宋体" w:hAnsi="宋体"/>
          <w:color w:val="000000"/>
          <w:sz w:val="28"/>
          <w:szCs w:val="28"/>
        </w:rPr>
        <w:t>，站区路面为水泥路面。</w:t>
      </w:r>
      <w:r>
        <w:rPr>
          <w:rFonts w:ascii="宋体" w:hAnsi="宋体"/>
          <w:color w:val="000000"/>
          <w:kern w:val="3"/>
          <w:sz w:val="28"/>
          <w:szCs w:val="28"/>
        </w:rPr>
        <w:t>加油站入口与出口分开设置，站内总平面布置近似成矩形布置，</w:t>
      </w:r>
      <w:r>
        <w:rPr>
          <w:rFonts w:hint="eastAsia" w:ascii="宋体" w:hAnsi="宋体"/>
          <w:color w:val="000000"/>
          <w:kern w:val="3"/>
          <w:sz w:val="28"/>
          <w:szCs w:val="28"/>
        </w:rPr>
        <w:t>加油站的油罐区设置于加油站东侧，</w:t>
      </w:r>
      <w:r>
        <w:rPr>
          <w:rFonts w:hint="eastAsia" w:ascii="宋体" w:hAnsi="宋体"/>
          <w:sz w:val="28"/>
        </w:rPr>
        <w:t>油罐区设置单独的实体围</w:t>
      </w:r>
      <w:r>
        <w:rPr>
          <w:rFonts w:hint="eastAsia" w:ascii="宋体" w:hAnsi="宋体"/>
          <w:sz w:val="28"/>
          <w:lang w:val="en-US" w:eastAsia="zh-CN"/>
        </w:rPr>
        <w:t>墙</w:t>
      </w:r>
      <w:r>
        <w:rPr>
          <w:rFonts w:hint="eastAsia" w:ascii="宋体" w:hAnsi="宋体"/>
          <w:sz w:val="28"/>
        </w:rPr>
        <w:t>分割，</w:t>
      </w:r>
      <w:r>
        <w:rPr>
          <w:rFonts w:hint="eastAsia" w:ascii="宋体" w:hAnsi="宋体"/>
          <w:color w:val="000000"/>
          <w:kern w:val="3"/>
          <w:sz w:val="28"/>
          <w:szCs w:val="28"/>
        </w:rPr>
        <w:t>油罐埋地布置</w:t>
      </w:r>
      <w:r>
        <w:rPr>
          <w:rFonts w:hint="eastAsia" w:ascii="宋体" w:hAnsi="宋体"/>
          <w:color w:val="000000"/>
          <w:sz w:val="28"/>
          <w:szCs w:val="28"/>
        </w:rPr>
        <w:t>。</w:t>
      </w:r>
    </w:p>
    <w:p w14:paraId="0CC2533B">
      <w:pPr>
        <w:spacing w:line="500" w:lineRule="exact"/>
        <w:ind w:firstLine="560" w:firstLineChars="200"/>
        <w:rPr>
          <w:rFonts w:ascii="宋体" w:hAnsi="宋体"/>
          <w:color w:val="000000"/>
          <w:kern w:val="3"/>
          <w:sz w:val="28"/>
          <w:szCs w:val="28"/>
        </w:rPr>
      </w:pPr>
      <w:bookmarkStart w:id="99" w:name="_Toc424306223"/>
      <w:bookmarkStart w:id="100" w:name="_Toc420403841"/>
      <w:bookmarkStart w:id="101" w:name="_Toc424305972"/>
      <w:r>
        <w:rPr>
          <w:rFonts w:hint="eastAsia" w:ascii="宋体" w:hAnsi="宋体"/>
          <w:color w:val="000000"/>
          <w:kern w:val="3"/>
          <w:sz w:val="28"/>
          <w:szCs w:val="28"/>
        </w:rPr>
        <w:t>1、</w:t>
      </w:r>
      <w:r>
        <w:rPr>
          <w:rFonts w:ascii="宋体" w:hAnsi="宋体"/>
          <w:color w:val="000000"/>
          <w:kern w:val="3"/>
          <w:sz w:val="28"/>
          <w:szCs w:val="28"/>
        </w:rPr>
        <w:t>油罐区</w:t>
      </w:r>
      <w:bookmarkEnd w:id="99"/>
      <w:bookmarkEnd w:id="100"/>
      <w:bookmarkEnd w:id="101"/>
    </w:p>
    <w:p w14:paraId="033545DD">
      <w:pPr>
        <w:spacing w:line="500" w:lineRule="exact"/>
        <w:ind w:firstLine="560" w:firstLineChars="200"/>
        <w:rPr>
          <w:rFonts w:ascii="宋体" w:hAnsi="宋体"/>
          <w:color w:val="000000"/>
          <w:kern w:val="3"/>
          <w:sz w:val="28"/>
          <w:szCs w:val="28"/>
        </w:rPr>
      </w:pPr>
      <w:r>
        <w:rPr>
          <w:rFonts w:hint="eastAsia" w:ascii="宋体" w:hAnsi="宋体"/>
          <w:color w:val="000000"/>
          <w:kern w:val="3"/>
          <w:sz w:val="28"/>
          <w:szCs w:val="28"/>
          <w:lang w:eastAsia="zh-CN"/>
        </w:rPr>
        <w:t>盐津县豆沙狮子湾加油站的油罐区位于站区中部车行道下承重罐池内。加油站共有油罐3</w:t>
      </w:r>
      <w:r>
        <w:rPr>
          <w:rFonts w:hint="eastAsia" w:ascii="宋体" w:hAnsi="宋体"/>
          <w:color w:val="000000"/>
          <w:sz w:val="28"/>
          <w:szCs w:val="28"/>
        </w:rPr>
        <w:t>个，其中</w:t>
      </w:r>
      <w:r>
        <w:rPr>
          <w:rFonts w:hint="eastAsia" w:ascii="宋体" w:hAnsi="宋体"/>
          <w:sz w:val="28"/>
          <w:lang w:val="en-US" w:eastAsia="zh-CN"/>
        </w:rPr>
        <w:t>5</w:t>
      </w:r>
      <w:r>
        <w:rPr>
          <w:rFonts w:hint="eastAsia" w:ascii="宋体" w:hAnsi="宋体"/>
          <w:sz w:val="28"/>
        </w:rPr>
        <w:t>0m</w:t>
      </w:r>
      <w:r>
        <w:rPr>
          <w:rFonts w:hint="eastAsia" w:ascii="宋体" w:hAnsi="宋体"/>
          <w:sz w:val="28"/>
          <w:szCs w:val="28"/>
          <w:vertAlign w:val="superscript"/>
        </w:rPr>
        <w:t>3</w:t>
      </w:r>
      <w:r>
        <w:rPr>
          <w:rFonts w:hint="eastAsia" w:ascii="宋体" w:hAnsi="宋体"/>
          <w:sz w:val="28"/>
        </w:rPr>
        <w:t>0</w:t>
      </w:r>
      <w:r>
        <w:rPr>
          <w:rFonts w:hint="eastAsia" w:ascii="宋体" w:hAnsi="宋体"/>
          <w:sz w:val="28"/>
          <w:vertAlign w:val="superscript"/>
        </w:rPr>
        <w:t>#</w:t>
      </w:r>
      <w:r>
        <w:rPr>
          <w:rFonts w:hint="eastAsia" w:ascii="宋体" w:hAnsi="宋体"/>
          <w:sz w:val="28"/>
        </w:rPr>
        <w:t>柴油罐1座、30m</w:t>
      </w:r>
      <w:r>
        <w:rPr>
          <w:rFonts w:hint="eastAsia" w:ascii="宋体" w:hAnsi="宋体"/>
          <w:sz w:val="28"/>
          <w:szCs w:val="28"/>
          <w:vertAlign w:val="superscript"/>
        </w:rPr>
        <w:t>3</w:t>
      </w:r>
      <w:r>
        <w:rPr>
          <w:rFonts w:hint="eastAsia" w:ascii="宋体" w:hAnsi="宋体"/>
          <w:sz w:val="28"/>
        </w:rPr>
        <w:t>92</w:t>
      </w:r>
      <w:r>
        <w:rPr>
          <w:rFonts w:hint="eastAsia" w:ascii="宋体" w:hAnsi="宋体"/>
          <w:sz w:val="28"/>
          <w:vertAlign w:val="superscript"/>
        </w:rPr>
        <w:t>#</w:t>
      </w:r>
      <w:r>
        <w:rPr>
          <w:rFonts w:hint="eastAsia" w:ascii="宋体" w:hAnsi="宋体"/>
          <w:sz w:val="28"/>
        </w:rPr>
        <w:t>汽油罐1座、30m</w:t>
      </w:r>
      <w:r>
        <w:rPr>
          <w:rFonts w:hint="eastAsia" w:ascii="宋体" w:hAnsi="宋体"/>
          <w:sz w:val="28"/>
          <w:szCs w:val="28"/>
          <w:vertAlign w:val="superscript"/>
        </w:rPr>
        <w:t>3</w:t>
      </w:r>
      <w:r>
        <w:rPr>
          <w:rFonts w:hint="eastAsia" w:ascii="宋体" w:hAnsi="宋体"/>
          <w:sz w:val="28"/>
        </w:rPr>
        <w:t>95</w:t>
      </w:r>
      <w:r>
        <w:rPr>
          <w:rFonts w:hint="eastAsia" w:ascii="宋体" w:hAnsi="宋体"/>
          <w:sz w:val="28"/>
          <w:vertAlign w:val="superscript"/>
        </w:rPr>
        <w:t>#</w:t>
      </w:r>
      <w:r>
        <w:rPr>
          <w:rFonts w:hint="eastAsia" w:ascii="宋体" w:hAnsi="宋体"/>
          <w:sz w:val="28"/>
        </w:rPr>
        <w:t>汽油罐1座</w:t>
      </w:r>
      <w:r>
        <w:rPr>
          <w:rFonts w:hint="eastAsia" w:ascii="宋体" w:hAnsi="宋体"/>
          <w:snapToGrid w:val="0"/>
          <w:color w:val="000000"/>
          <w:kern w:val="0"/>
          <w:sz w:val="28"/>
          <w:szCs w:val="28"/>
        </w:rPr>
        <w:t>，</w:t>
      </w:r>
      <w:r>
        <w:rPr>
          <w:rFonts w:hint="eastAsia" w:ascii="宋体" w:hAnsi="宋体"/>
          <w:color w:val="000000"/>
          <w:sz w:val="28"/>
          <w:szCs w:val="28"/>
        </w:rPr>
        <w:t>总储存量为</w:t>
      </w:r>
      <w:r>
        <w:rPr>
          <w:rFonts w:hint="eastAsia" w:ascii="宋体" w:hAnsi="宋体"/>
          <w:color w:val="000000"/>
          <w:sz w:val="28"/>
          <w:szCs w:val="28"/>
          <w:lang w:val="en-US" w:eastAsia="zh-CN"/>
        </w:rPr>
        <w:t>11</w:t>
      </w:r>
      <w:r>
        <w:rPr>
          <w:rFonts w:hint="eastAsia" w:ascii="宋体" w:hAnsi="宋体"/>
          <w:color w:val="000000"/>
          <w:sz w:val="28"/>
          <w:szCs w:val="28"/>
        </w:rPr>
        <w:t>0m³</w:t>
      </w:r>
      <w:r>
        <w:rPr>
          <w:rFonts w:hint="eastAsia" w:ascii="宋体" w:hAnsi="宋体"/>
          <w:color w:val="000000"/>
          <w:kern w:val="3"/>
          <w:sz w:val="28"/>
          <w:szCs w:val="28"/>
        </w:rPr>
        <w:t>，通气管口沿罩棚立柱向上敷设，高出罩棚2m，柴油、汽油分开设置，通气管口安装阻火器，其中汽油通气管口设置机械呼吸阀。</w:t>
      </w:r>
    </w:p>
    <w:p w14:paraId="5A933292">
      <w:pPr>
        <w:autoSpaceDE w:val="0"/>
        <w:autoSpaceDN w:val="0"/>
        <w:adjustRightInd w:val="0"/>
        <w:spacing w:line="500" w:lineRule="exact"/>
        <w:ind w:firstLine="482"/>
        <w:rPr>
          <w:rFonts w:ascii="宋体" w:hAnsi="宋体"/>
          <w:color w:val="000000"/>
          <w:kern w:val="3"/>
          <w:sz w:val="28"/>
          <w:szCs w:val="28"/>
        </w:rPr>
      </w:pPr>
      <w:r>
        <w:rPr>
          <w:rFonts w:hint="eastAsia" w:ascii="宋体" w:hAnsi="宋体"/>
          <w:color w:val="000000"/>
          <w:kern w:val="3"/>
          <w:sz w:val="28"/>
          <w:szCs w:val="28"/>
        </w:rPr>
        <w:t>油品卸车点设置于站区东南面，</w:t>
      </w:r>
      <w:r>
        <w:rPr>
          <w:rFonts w:ascii="宋体" w:hAnsi="宋体"/>
          <w:color w:val="000000"/>
          <w:kern w:val="3"/>
          <w:sz w:val="28"/>
          <w:szCs w:val="28"/>
        </w:rPr>
        <w:t>设置了</w:t>
      </w:r>
      <w:r>
        <w:rPr>
          <w:rFonts w:hint="eastAsia" w:ascii="宋体" w:hAnsi="宋体"/>
          <w:color w:val="000000"/>
          <w:kern w:val="3"/>
          <w:sz w:val="28"/>
          <w:szCs w:val="28"/>
        </w:rPr>
        <w:t>4</w:t>
      </w:r>
      <w:r>
        <w:rPr>
          <w:rFonts w:ascii="宋体" w:hAnsi="宋体"/>
          <w:color w:val="000000"/>
          <w:kern w:val="3"/>
          <w:sz w:val="28"/>
          <w:szCs w:val="28"/>
        </w:rPr>
        <w:t>个密闭卸油口（0</w:t>
      </w:r>
      <w:r>
        <w:rPr>
          <w:rFonts w:ascii="宋体" w:hAnsi="宋体"/>
          <w:color w:val="000000"/>
          <w:kern w:val="3"/>
          <w:sz w:val="28"/>
          <w:szCs w:val="28"/>
          <w:vertAlign w:val="superscript"/>
        </w:rPr>
        <w:t>#</w:t>
      </w:r>
      <w:r>
        <w:rPr>
          <w:rFonts w:hint="eastAsia" w:ascii="宋体" w:hAnsi="宋体"/>
          <w:color w:val="000000"/>
          <w:kern w:val="3"/>
          <w:sz w:val="28"/>
          <w:szCs w:val="28"/>
        </w:rPr>
        <w:t>柴油</w:t>
      </w:r>
      <w:r>
        <w:rPr>
          <w:rFonts w:ascii="宋体" w:hAnsi="宋体"/>
          <w:color w:val="000000"/>
          <w:kern w:val="3"/>
          <w:sz w:val="28"/>
          <w:szCs w:val="28"/>
        </w:rPr>
        <w:t>卸油口</w:t>
      </w:r>
      <w:r>
        <w:rPr>
          <w:rFonts w:hint="eastAsia" w:ascii="宋体" w:hAnsi="宋体"/>
          <w:color w:val="000000"/>
          <w:kern w:val="3"/>
          <w:sz w:val="28"/>
          <w:szCs w:val="28"/>
        </w:rPr>
        <w:t>1</w:t>
      </w:r>
      <w:r>
        <w:rPr>
          <w:rFonts w:ascii="宋体" w:hAnsi="宋体"/>
          <w:color w:val="000000"/>
          <w:kern w:val="3"/>
          <w:sz w:val="28"/>
          <w:szCs w:val="28"/>
        </w:rPr>
        <w:t>个</w:t>
      </w:r>
      <w:r>
        <w:rPr>
          <w:rFonts w:hint="eastAsia" w:ascii="宋体" w:hAnsi="宋体"/>
          <w:color w:val="000000"/>
          <w:kern w:val="3"/>
          <w:sz w:val="28"/>
          <w:szCs w:val="28"/>
        </w:rPr>
        <w:t>、</w:t>
      </w:r>
      <w:r>
        <w:rPr>
          <w:rFonts w:ascii="宋体" w:hAnsi="宋体"/>
          <w:color w:val="000000"/>
          <w:kern w:val="3"/>
          <w:sz w:val="28"/>
          <w:szCs w:val="28"/>
        </w:rPr>
        <w:t>92#</w:t>
      </w:r>
      <w:r>
        <w:rPr>
          <w:rFonts w:hint="eastAsia" w:ascii="宋体" w:hAnsi="宋体"/>
          <w:color w:val="000000"/>
          <w:kern w:val="3"/>
          <w:sz w:val="28"/>
          <w:szCs w:val="28"/>
        </w:rPr>
        <w:t>汽油</w:t>
      </w:r>
      <w:r>
        <w:rPr>
          <w:rFonts w:ascii="宋体" w:hAnsi="宋体"/>
          <w:color w:val="000000"/>
          <w:kern w:val="3"/>
          <w:sz w:val="28"/>
          <w:szCs w:val="28"/>
        </w:rPr>
        <w:t>卸油口1个</w:t>
      </w:r>
      <w:r>
        <w:rPr>
          <w:rFonts w:hint="eastAsia" w:ascii="宋体" w:hAnsi="宋体"/>
          <w:color w:val="000000"/>
          <w:kern w:val="3"/>
          <w:sz w:val="28"/>
          <w:szCs w:val="28"/>
        </w:rPr>
        <w:t>、</w:t>
      </w:r>
      <w:r>
        <w:rPr>
          <w:rFonts w:ascii="宋体" w:hAnsi="宋体"/>
          <w:color w:val="000000"/>
          <w:kern w:val="3"/>
          <w:sz w:val="28"/>
          <w:szCs w:val="28"/>
        </w:rPr>
        <w:t>9</w:t>
      </w:r>
      <w:r>
        <w:rPr>
          <w:rFonts w:hint="eastAsia" w:ascii="宋体" w:hAnsi="宋体"/>
          <w:color w:val="000000"/>
          <w:kern w:val="3"/>
          <w:sz w:val="28"/>
          <w:szCs w:val="28"/>
        </w:rPr>
        <w:t>5</w:t>
      </w:r>
      <w:r>
        <w:rPr>
          <w:rFonts w:ascii="宋体" w:hAnsi="宋体"/>
          <w:color w:val="000000"/>
          <w:kern w:val="3"/>
          <w:sz w:val="28"/>
          <w:szCs w:val="28"/>
        </w:rPr>
        <w:t>#</w:t>
      </w:r>
      <w:r>
        <w:rPr>
          <w:rFonts w:hint="eastAsia" w:ascii="宋体" w:hAnsi="宋体"/>
          <w:color w:val="000000"/>
          <w:kern w:val="3"/>
          <w:sz w:val="28"/>
          <w:szCs w:val="28"/>
        </w:rPr>
        <w:t>汽油</w:t>
      </w:r>
      <w:r>
        <w:rPr>
          <w:rFonts w:ascii="宋体" w:hAnsi="宋体"/>
          <w:color w:val="000000"/>
          <w:kern w:val="3"/>
          <w:sz w:val="28"/>
          <w:szCs w:val="28"/>
        </w:rPr>
        <w:t>卸油口1个</w:t>
      </w:r>
      <w:r>
        <w:rPr>
          <w:rFonts w:hint="eastAsia" w:ascii="宋体" w:hAnsi="宋体"/>
          <w:color w:val="000000"/>
          <w:kern w:val="3"/>
          <w:sz w:val="28"/>
          <w:szCs w:val="28"/>
        </w:rPr>
        <w:t>、油气回收口1个</w:t>
      </w:r>
      <w:r>
        <w:rPr>
          <w:rFonts w:ascii="宋体" w:hAnsi="宋体"/>
          <w:color w:val="000000"/>
          <w:kern w:val="3"/>
          <w:sz w:val="28"/>
          <w:szCs w:val="28"/>
        </w:rPr>
        <w:t>）；在密闭卸油口旁设置有1个</w:t>
      </w:r>
      <w:r>
        <w:rPr>
          <w:rFonts w:hint="eastAsia" w:ascii="宋体" w:hAnsi="宋体"/>
          <w:color w:val="000000"/>
          <w:kern w:val="3"/>
          <w:sz w:val="28"/>
          <w:szCs w:val="28"/>
        </w:rPr>
        <w:t>2</w:t>
      </w:r>
      <w:r>
        <w:rPr>
          <w:rFonts w:ascii="宋体" w:hAnsi="宋体"/>
          <w:color w:val="000000"/>
          <w:kern w:val="3"/>
          <w:sz w:val="28"/>
          <w:szCs w:val="28"/>
        </w:rPr>
        <w:t>m</w:t>
      </w:r>
      <w:r>
        <w:rPr>
          <w:rFonts w:ascii="宋体" w:hAnsi="宋体"/>
          <w:color w:val="000000"/>
          <w:kern w:val="3"/>
          <w:sz w:val="28"/>
          <w:szCs w:val="28"/>
          <w:vertAlign w:val="superscript"/>
        </w:rPr>
        <w:t>3</w:t>
      </w:r>
      <w:r>
        <w:rPr>
          <w:rFonts w:ascii="宋体" w:hAnsi="宋体"/>
          <w:color w:val="000000"/>
          <w:kern w:val="3"/>
          <w:sz w:val="28"/>
          <w:szCs w:val="28"/>
        </w:rPr>
        <w:t>的消防沙</w:t>
      </w:r>
      <w:r>
        <w:rPr>
          <w:rFonts w:hint="eastAsia" w:ascii="宋体" w:hAnsi="宋体"/>
          <w:color w:val="000000"/>
          <w:kern w:val="3"/>
          <w:sz w:val="28"/>
          <w:szCs w:val="28"/>
        </w:rPr>
        <w:t>池及1个消防器材柜，</w:t>
      </w:r>
      <w:r>
        <w:rPr>
          <w:rFonts w:ascii="宋体" w:hAnsi="宋体"/>
          <w:color w:val="000000"/>
          <w:kern w:val="3"/>
          <w:sz w:val="28"/>
          <w:szCs w:val="28"/>
        </w:rPr>
        <w:t>汽车卸车停车位处，按平坡设计。</w:t>
      </w:r>
    </w:p>
    <w:p w14:paraId="33A93F35">
      <w:pPr>
        <w:autoSpaceDE w:val="0"/>
        <w:autoSpaceDN w:val="0"/>
        <w:adjustRightInd w:val="0"/>
        <w:spacing w:line="500" w:lineRule="exact"/>
        <w:ind w:firstLine="482"/>
        <w:rPr>
          <w:rFonts w:ascii="宋体" w:hAnsi="宋体"/>
          <w:color w:val="000000"/>
          <w:kern w:val="3"/>
          <w:sz w:val="28"/>
          <w:szCs w:val="28"/>
        </w:rPr>
      </w:pPr>
      <w:r>
        <w:rPr>
          <w:rFonts w:ascii="宋体" w:hAnsi="宋体"/>
          <w:color w:val="000000"/>
          <w:kern w:val="3"/>
          <w:sz w:val="28"/>
          <w:szCs w:val="28"/>
        </w:rPr>
        <w:t>该加油站油罐为</w:t>
      </w:r>
      <w:r>
        <w:rPr>
          <w:rFonts w:hint="eastAsia" w:ascii="宋体" w:hAnsi="宋体"/>
          <w:color w:val="000000"/>
          <w:kern w:val="3"/>
          <w:sz w:val="28"/>
          <w:szCs w:val="28"/>
        </w:rPr>
        <w:t>SF罐</w:t>
      </w:r>
      <w:r>
        <w:rPr>
          <w:rFonts w:ascii="宋体" w:hAnsi="宋体"/>
          <w:color w:val="000000"/>
          <w:kern w:val="3"/>
          <w:sz w:val="28"/>
          <w:szCs w:val="28"/>
        </w:rPr>
        <w:t>，罐体采取轧钢锚固措施防止油罐上浮，卸油口处设置静电接地</w:t>
      </w:r>
      <w:r>
        <w:rPr>
          <w:rFonts w:hint="eastAsia" w:ascii="宋体" w:hAnsi="宋体"/>
          <w:color w:val="000000"/>
          <w:kern w:val="3"/>
          <w:sz w:val="28"/>
          <w:szCs w:val="28"/>
        </w:rPr>
        <w:t>报警装置</w:t>
      </w:r>
      <w:r>
        <w:rPr>
          <w:rFonts w:ascii="宋体" w:hAnsi="宋体"/>
          <w:color w:val="000000"/>
          <w:kern w:val="3"/>
          <w:sz w:val="28"/>
          <w:szCs w:val="28"/>
        </w:rPr>
        <w:t>，在爆炸危险区域内工艺管道上的法兰、胶管两端等连接处，用金属线跨接。</w:t>
      </w:r>
    </w:p>
    <w:p w14:paraId="26863078">
      <w:pPr>
        <w:spacing w:line="500" w:lineRule="exact"/>
        <w:ind w:firstLine="560" w:firstLineChars="200"/>
        <w:rPr>
          <w:rFonts w:ascii="宋体" w:hAnsi="宋体"/>
          <w:color w:val="000000"/>
          <w:kern w:val="3"/>
          <w:sz w:val="28"/>
          <w:szCs w:val="28"/>
        </w:rPr>
      </w:pPr>
      <w:bookmarkStart w:id="102" w:name="_Toc424306224"/>
      <w:bookmarkStart w:id="103" w:name="_Toc420403842"/>
      <w:bookmarkStart w:id="104" w:name="_Toc424305973"/>
      <w:r>
        <w:rPr>
          <w:rFonts w:hint="eastAsia" w:ascii="宋体" w:hAnsi="宋体"/>
          <w:color w:val="000000"/>
          <w:kern w:val="3"/>
          <w:sz w:val="28"/>
          <w:szCs w:val="28"/>
        </w:rPr>
        <w:t>2、</w:t>
      </w:r>
      <w:r>
        <w:rPr>
          <w:rFonts w:ascii="宋体" w:hAnsi="宋体"/>
          <w:color w:val="000000"/>
          <w:kern w:val="3"/>
          <w:sz w:val="28"/>
          <w:szCs w:val="28"/>
        </w:rPr>
        <w:t>加油区</w:t>
      </w:r>
      <w:bookmarkEnd w:id="102"/>
      <w:bookmarkEnd w:id="103"/>
      <w:bookmarkEnd w:id="104"/>
    </w:p>
    <w:p w14:paraId="2779DA0F">
      <w:pPr>
        <w:autoSpaceDE w:val="0"/>
        <w:autoSpaceDN w:val="0"/>
        <w:adjustRightInd w:val="0"/>
        <w:spacing w:line="500" w:lineRule="exact"/>
        <w:ind w:firstLine="482"/>
        <w:rPr>
          <w:rFonts w:ascii="宋体" w:hAnsi="宋体"/>
          <w:color w:val="000000"/>
          <w:kern w:val="3"/>
          <w:sz w:val="28"/>
          <w:szCs w:val="28"/>
        </w:rPr>
      </w:pPr>
      <w:r>
        <w:rPr>
          <w:rFonts w:ascii="宋体" w:hAnsi="宋体"/>
          <w:color w:val="000000"/>
          <w:kern w:val="3"/>
          <w:sz w:val="28"/>
          <w:szCs w:val="28"/>
        </w:rPr>
        <w:t>该加油站加油区无明火地点</w:t>
      </w:r>
      <w:r>
        <w:rPr>
          <w:rFonts w:hint="eastAsia" w:ascii="宋体" w:hAnsi="宋体"/>
          <w:color w:val="000000"/>
          <w:kern w:val="3"/>
          <w:sz w:val="28"/>
          <w:szCs w:val="28"/>
        </w:rPr>
        <w:t>和</w:t>
      </w:r>
      <w:r>
        <w:rPr>
          <w:rFonts w:ascii="宋体" w:hAnsi="宋体"/>
          <w:color w:val="000000"/>
          <w:kern w:val="3"/>
          <w:sz w:val="28"/>
          <w:szCs w:val="28"/>
        </w:rPr>
        <w:t>散发火花地点，</w:t>
      </w:r>
      <w:r>
        <w:rPr>
          <w:rFonts w:hint="eastAsia" w:ascii="宋体" w:hAnsi="宋体"/>
          <w:color w:val="000000"/>
          <w:kern w:val="3"/>
          <w:sz w:val="28"/>
          <w:szCs w:val="28"/>
        </w:rPr>
        <w:t>站内</w:t>
      </w:r>
      <w:r>
        <w:rPr>
          <w:rFonts w:ascii="宋体" w:hAnsi="宋体"/>
          <w:color w:val="000000"/>
          <w:kern w:val="3"/>
          <w:sz w:val="28"/>
          <w:szCs w:val="28"/>
        </w:rPr>
        <w:t>设置了钢架结构罩棚</w:t>
      </w:r>
      <w:r>
        <w:rPr>
          <w:rFonts w:hint="eastAsia" w:ascii="宋体" w:hAnsi="宋体"/>
          <w:color w:val="000000"/>
          <w:kern w:val="3"/>
          <w:sz w:val="28"/>
          <w:szCs w:val="28"/>
        </w:rPr>
        <w:t>1</w:t>
      </w:r>
      <w:r>
        <w:rPr>
          <w:rFonts w:ascii="宋体" w:hAnsi="宋体"/>
          <w:color w:val="000000"/>
          <w:kern w:val="3"/>
          <w:sz w:val="28"/>
          <w:szCs w:val="28"/>
        </w:rPr>
        <w:t>座，</w:t>
      </w:r>
      <w:r>
        <w:rPr>
          <w:rFonts w:hint="eastAsia" w:ascii="宋体" w:hAnsi="宋体"/>
          <w:color w:val="000000"/>
          <w:kern w:val="3"/>
          <w:sz w:val="28"/>
          <w:szCs w:val="28"/>
        </w:rPr>
        <w:t>罩棚的高度为</w:t>
      </w:r>
      <w:r>
        <w:rPr>
          <w:rFonts w:ascii="宋体" w:hAnsi="宋体"/>
          <w:color w:val="000000"/>
          <w:kern w:val="3"/>
          <w:sz w:val="28"/>
          <w:szCs w:val="28"/>
        </w:rPr>
        <w:t>7</w:t>
      </w:r>
      <w:r>
        <w:rPr>
          <w:rFonts w:hint="eastAsia" w:ascii="宋体" w:hAnsi="宋体"/>
          <w:color w:val="000000"/>
          <w:kern w:val="3"/>
          <w:sz w:val="28"/>
          <w:szCs w:val="28"/>
        </w:rPr>
        <w:t>m，面积约为</w:t>
      </w:r>
      <w:r>
        <w:rPr>
          <w:rFonts w:hint="eastAsia" w:ascii="宋体" w:hAnsi="宋体"/>
          <w:color w:val="000000"/>
          <w:kern w:val="3"/>
          <w:sz w:val="28"/>
          <w:szCs w:val="28"/>
          <w:lang w:val="en-US" w:eastAsia="zh-CN"/>
        </w:rPr>
        <w:t>30</w:t>
      </w:r>
      <w:r>
        <w:rPr>
          <w:rFonts w:hint="eastAsia" w:ascii="宋体" w:hAnsi="宋体"/>
          <w:color w:val="000000"/>
          <w:kern w:val="3"/>
          <w:sz w:val="28"/>
          <w:szCs w:val="28"/>
        </w:rPr>
        <w:t>0㎡</w:t>
      </w:r>
      <w:r>
        <w:rPr>
          <w:rFonts w:ascii="宋体" w:hAnsi="宋体"/>
          <w:color w:val="000000"/>
          <w:kern w:val="3"/>
          <w:sz w:val="28"/>
          <w:szCs w:val="28"/>
        </w:rPr>
        <w:t>；罩棚下设置了</w:t>
      </w:r>
      <w:r>
        <w:rPr>
          <w:rFonts w:hint="eastAsia" w:ascii="宋体" w:hAnsi="宋体"/>
          <w:color w:val="000000"/>
          <w:kern w:val="3"/>
          <w:sz w:val="28"/>
          <w:szCs w:val="28"/>
        </w:rPr>
        <w:t>4台加油机</w:t>
      </w:r>
      <w:r>
        <w:rPr>
          <w:rFonts w:ascii="宋体" w:hAnsi="宋体"/>
          <w:color w:val="000000"/>
          <w:kern w:val="3"/>
          <w:sz w:val="28"/>
          <w:szCs w:val="28"/>
        </w:rPr>
        <w:t>。</w:t>
      </w:r>
    </w:p>
    <w:p w14:paraId="48AE2599">
      <w:pPr>
        <w:spacing w:line="500" w:lineRule="exact"/>
        <w:ind w:firstLine="560" w:firstLineChars="200"/>
        <w:rPr>
          <w:rFonts w:ascii="宋体" w:hAnsi="宋体"/>
          <w:color w:val="000000"/>
          <w:kern w:val="3"/>
          <w:sz w:val="28"/>
          <w:szCs w:val="28"/>
        </w:rPr>
      </w:pPr>
      <w:bookmarkStart w:id="105" w:name="_Toc420403843"/>
      <w:bookmarkStart w:id="106" w:name="_Toc424305974"/>
      <w:bookmarkStart w:id="107" w:name="_Toc424306225"/>
      <w:r>
        <w:rPr>
          <w:rFonts w:hint="eastAsia" w:ascii="宋体" w:hAnsi="宋体"/>
          <w:color w:val="000000"/>
          <w:kern w:val="3"/>
          <w:sz w:val="28"/>
          <w:szCs w:val="28"/>
        </w:rPr>
        <w:t>3、</w:t>
      </w:r>
      <w:r>
        <w:rPr>
          <w:rFonts w:ascii="宋体" w:hAnsi="宋体"/>
          <w:color w:val="000000"/>
          <w:kern w:val="3"/>
          <w:sz w:val="28"/>
          <w:szCs w:val="28"/>
        </w:rPr>
        <w:t>站房及辅助设施区</w:t>
      </w:r>
      <w:bookmarkEnd w:id="105"/>
      <w:bookmarkEnd w:id="106"/>
      <w:bookmarkEnd w:id="107"/>
    </w:p>
    <w:p w14:paraId="28F44086">
      <w:pPr>
        <w:autoSpaceDE w:val="0"/>
        <w:autoSpaceDN w:val="0"/>
        <w:adjustRightInd w:val="0"/>
        <w:spacing w:line="500" w:lineRule="exact"/>
        <w:ind w:firstLine="482"/>
        <w:rPr>
          <w:rFonts w:ascii="宋体" w:hAnsi="宋体"/>
          <w:color w:val="000000"/>
          <w:kern w:val="3"/>
          <w:sz w:val="28"/>
          <w:szCs w:val="28"/>
        </w:rPr>
      </w:pPr>
      <w:r>
        <w:rPr>
          <w:rFonts w:hint="eastAsia" w:ascii="宋体" w:hAnsi="宋体"/>
          <w:kern w:val="3"/>
          <w:sz w:val="28"/>
          <w:szCs w:val="28"/>
        </w:rPr>
        <w:t>该加油站站房设置于加油区</w:t>
      </w:r>
      <w:r>
        <w:rPr>
          <w:rFonts w:hint="eastAsia" w:ascii="宋体" w:hAnsi="宋体"/>
          <w:kern w:val="3"/>
          <w:sz w:val="28"/>
          <w:szCs w:val="28"/>
          <w:lang w:val="en-US" w:eastAsia="zh-CN"/>
        </w:rPr>
        <w:t>西</w:t>
      </w:r>
      <w:r>
        <w:rPr>
          <w:rFonts w:hint="eastAsia" w:ascii="宋体" w:hAnsi="宋体"/>
          <w:kern w:val="3"/>
          <w:sz w:val="28"/>
          <w:szCs w:val="28"/>
        </w:rPr>
        <w:t>面，距最近加油机</w:t>
      </w:r>
      <w:r>
        <w:rPr>
          <w:rFonts w:hint="eastAsia" w:ascii="宋体" w:hAnsi="宋体"/>
          <w:kern w:val="3"/>
          <w:sz w:val="28"/>
          <w:szCs w:val="28"/>
          <w:lang w:val="en-US" w:eastAsia="zh-CN"/>
        </w:rPr>
        <w:t>11</w:t>
      </w:r>
      <w:r>
        <w:rPr>
          <w:rFonts w:hint="eastAsia" w:ascii="宋体" w:hAnsi="宋体"/>
          <w:kern w:val="3"/>
          <w:sz w:val="28"/>
          <w:szCs w:val="28"/>
        </w:rPr>
        <w:t>m，距油罐区最近约的油罐为</w:t>
      </w:r>
      <w:r>
        <w:rPr>
          <w:rFonts w:hint="eastAsia" w:ascii="宋体" w:hAnsi="宋体"/>
          <w:kern w:val="3"/>
          <w:sz w:val="28"/>
          <w:szCs w:val="28"/>
          <w:lang w:val="en-US" w:eastAsia="zh-CN"/>
        </w:rPr>
        <w:t>15.8</w:t>
      </w:r>
      <w:r>
        <w:rPr>
          <w:rFonts w:hint="eastAsia" w:ascii="宋体" w:hAnsi="宋体"/>
          <w:kern w:val="3"/>
          <w:sz w:val="28"/>
          <w:szCs w:val="28"/>
        </w:rPr>
        <w:t>m。</w:t>
      </w:r>
      <w:r>
        <w:rPr>
          <w:rFonts w:ascii="宋体" w:hAnsi="宋体"/>
          <w:color w:val="000000"/>
          <w:kern w:val="3"/>
          <w:sz w:val="28"/>
          <w:szCs w:val="28"/>
        </w:rPr>
        <w:t>站房为</w:t>
      </w:r>
      <w:r>
        <w:rPr>
          <w:rFonts w:hint="eastAsia" w:ascii="宋体" w:hAnsi="宋体"/>
          <w:color w:val="000000"/>
          <w:kern w:val="3"/>
          <w:sz w:val="28"/>
          <w:szCs w:val="28"/>
        </w:rPr>
        <w:t>二层</w:t>
      </w:r>
      <w:r>
        <w:rPr>
          <w:rFonts w:hint="eastAsia" w:ascii="宋体" w:hAnsi="宋体"/>
          <w:kern w:val="3"/>
          <w:sz w:val="28"/>
          <w:szCs w:val="28"/>
        </w:rPr>
        <w:t>建筑</w:t>
      </w:r>
      <w:r>
        <w:rPr>
          <w:rFonts w:ascii="宋体" w:hAnsi="宋体"/>
          <w:color w:val="000000"/>
          <w:kern w:val="3"/>
          <w:sz w:val="28"/>
          <w:szCs w:val="28"/>
        </w:rPr>
        <w:t>，</w:t>
      </w:r>
      <w:r>
        <w:rPr>
          <w:rFonts w:hint="eastAsia" w:ascii="宋体" w:hAnsi="宋体"/>
          <w:color w:val="000000"/>
          <w:kern w:val="3"/>
          <w:sz w:val="28"/>
          <w:szCs w:val="28"/>
        </w:rPr>
        <w:t>包含办公室、收银室等，附属房包含配电室、厨房、值班室等。该加油站使用电磁炉做饭，未使用明火或者散发火花的煤气、天然气等燃料。</w:t>
      </w:r>
    </w:p>
    <w:p w14:paraId="41BCE94D">
      <w:pPr>
        <w:spacing w:line="500" w:lineRule="exact"/>
        <w:ind w:firstLine="560" w:firstLineChars="200"/>
        <w:rPr>
          <w:rFonts w:ascii="宋体" w:hAnsi="宋体"/>
          <w:color w:val="000000"/>
          <w:kern w:val="3"/>
          <w:sz w:val="28"/>
          <w:szCs w:val="28"/>
        </w:rPr>
      </w:pPr>
      <w:bookmarkStart w:id="108" w:name="_Toc420403844"/>
      <w:bookmarkStart w:id="109" w:name="_Toc424305975"/>
      <w:bookmarkStart w:id="110" w:name="_Toc424306226"/>
      <w:r>
        <w:rPr>
          <w:rFonts w:hint="eastAsia" w:ascii="宋体" w:hAnsi="宋体"/>
          <w:color w:val="000000"/>
          <w:kern w:val="3"/>
          <w:sz w:val="28"/>
          <w:szCs w:val="28"/>
        </w:rPr>
        <w:t>4、</w:t>
      </w:r>
      <w:r>
        <w:rPr>
          <w:rFonts w:ascii="宋体" w:hAnsi="宋体"/>
          <w:color w:val="000000"/>
          <w:kern w:val="3"/>
          <w:sz w:val="28"/>
          <w:szCs w:val="28"/>
        </w:rPr>
        <w:t>道路</w:t>
      </w:r>
      <w:bookmarkEnd w:id="108"/>
      <w:bookmarkEnd w:id="109"/>
      <w:bookmarkEnd w:id="110"/>
    </w:p>
    <w:p w14:paraId="543BF7B7">
      <w:pPr>
        <w:autoSpaceDE w:val="0"/>
        <w:autoSpaceDN w:val="0"/>
        <w:adjustRightInd w:val="0"/>
        <w:spacing w:line="500" w:lineRule="exact"/>
        <w:ind w:firstLine="482"/>
        <w:rPr>
          <w:rFonts w:ascii="宋体" w:hAnsi="宋体"/>
          <w:color w:val="000000"/>
          <w:kern w:val="3"/>
          <w:sz w:val="28"/>
          <w:szCs w:val="28"/>
        </w:rPr>
      </w:pPr>
      <w:r>
        <w:rPr>
          <w:rFonts w:ascii="宋体" w:hAnsi="宋体"/>
          <w:color w:val="000000"/>
          <w:kern w:val="3"/>
          <w:sz w:val="28"/>
          <w:szCs w:val="28"/>
        </w:rPr>
        <w:t>该加油站</w:t>
      </w:r>
      <w:r>
        <w:rPr>
          <w:rFonts w:hint="eastAsia" w:ascii="宋体" w:hAnsi="宋体"/>
          <w:color w:val="000000"/>
          <w:kern w:val="3"/>
          <w:sz w:val="28"/>
          <w:szCs w:val="28"/>
        </w:rPr>
        <w:t>加油区</w:t>
      </w:r>
      <w:r>
        <w:rPr>
          <w:rFonts w:ascii="宋体" w:hAnsi="宋体"/>
          <w:color w:val="000000"/>
          <w:kern w:val="3"/>
          <w:sz w:val="28"/>
          <w:szCs w:val="28"/>
        </w:rPr>
        <w:t>设置了</w:t>
      </w:r>
      <w:r>
        <w:rPr>
          <w:rFonts w:hint="eastAsia" w:ascii="宋体" w:hAnsi="宋体"/>
          <w:color w:val="000000"/>
          <w:kern w:val="3"/>
          <w:sz w:val="28"/>
          <w:szCs w:val="28"/>
          <w:lang w:val="en-US" w:eastAsia="zh-CN"/>
        </w:rPr>
        <w:t>3</w:t>
      </w:r>
      <w:r>
        <w:rPr>
          <w:rFonts w:ascii="宋体" w:hAnsi="宋体"/>
          <w:color w:val="000000"/>
          <w:kern w:val="3"/>
          <w:sz w:val="28"/>
          <w:szCs w:val="28"/>
        </w:rPr>
        <w:t>条车道</w:t>
      </w:r>
      <w:r>
        <w:rPr>
          <w:rFonts w:hint="eastAsia" w:ascii="宋体" w:hAnsi="宋体"/>
          <w:color w:val="000000"/>
          <w:kern w:val="3"/>
          <w:sz w:val="28"/>
          <w:szCs w:val="28"/>
        </w:rPr>
        <w:t>，</w:t>
      </w:r>
      <w:r>
        <w:rPr>
          <w:rFonts w:ascii="宋体" w:hAnsi="宋体"/>
          <w:color w:val="000000"/>
          <w:kern w:val="3"/>
          <w:sz w:val="28"/>
          <w:szCs w:val="28"/>
        </w:rPr>
        <w:t>站内停车场和道路采用水泥路面</w:t>
      </w:r>
      <w:r>
        <w:rPr>
          <w:rFonts w:hint="eastAsia" w:ascii="宋体" w:hAnsi="宋体"/>
          <w:color w:val="000000"/>
          <w:kern w:val="3"/>
          <w:sz w:val="28"/>
          <w:szCs w:val="28"/>
        </w:rPr>
        <w:t>，</w:t>
      </w:r>
      <w:r>
        <w:rPr>
          <w:rFonts w:ascii="宋体" w:hAnsi="宋体"/>
          <w:color w:val="000000"/>
          <w:kern w:val="3"/>
          <w:sz w:val="28"/>
          <w:szCs w:val="28"/>
        </w:rPr>
        <w:t>站内道路采用平坡设置。</w:t>
      </w:r>
    </w:p>
    <w:p w14:paraId="7A695A4A">
      <w:pPr>
        <w:spacing w:line="500" w:lineRule="exact"/>
        <w:ind w:firstLine="560" w:firstLineChars="200"/>
        <w:rPr>
          <w:rFonts w:ascii="宋体" w:hAnsi="宋体"/>
          <w:color w:val="000000"/>
          <w:kern w:val="3"/>
          <w:sz w:val="28"/>
          <w:szCs w:val="28"/>
        </w:rPr>
      </w:pPr>
      <w:bookmarkStart w:id="111" w:name="_Toc424306227"/>
      <w:bookmarkStart w:id="112" w:name="_Toc424305976"/>
      <w:bookmarkStart w:id="113" w:name="_Toc420403845"/>
      <w:r>
        <w:rPr>
          <w:rFonts w:hint="eastAsia" w:ascii="宋体" w:hAnsi="宋体"/>
          <w:color w:val="000000"/>
          <w:kern w:val="3"/>
          <w:sz w:val="28"/>
          <w:szCs w:val="28"/>
        </w:rPr>
        <w:t>5、</w:t>
      </w:r>
      <w:r>
        <w:rPr>
          <w:rFonts w:ascii="宋体" w:hAnsi="宋体"/>
          <w:color w:val="000000"/>
          <w:kern w:val="3"/>
          <w:sz w:val="28"/>
          <w:szCs w:val="28"/>
        </w:rPr>
        <w:t>其它</w:t>
      </w:r>
      <w:bookmarkEnd w:id="111"/>
      <w:bookmarkEnd w:id="112"/>
      <w:bookmarkEnd w:id="113"/>
    </w:p>
    <w:p w14:paraId="2FBC17F8">
      <w:pPr>
        <w:autoSpaceDE w:val="0"/>
        <w:autoSpaceDN w:val="0"/>
        <w:adjustRightInd w:val="0"/>
        <w:spacing w:line="500" w:lineRule="exact"/>
        <w:ind w:firstLine="482"/>
        <w:rPr>
          <w:rFonts w:ascii="宋体" w:hAnsi="宋体"/>
          <w:color w:val="000000"/>
          <w:kern w:val="3"/>
          <w:sz w:val="28"/>
          <w:szCs w:val="28"/>
        </w:rPr>
      </w:pPr>
      <w:r>
        <w:rPr>
          <w:rFonts w:ascii="宋体" w:hAnsi="宋体"/>
          <w:color w:val="000000"/>
          <w:kern w:val="3"/>
          <w:sz w:val="28"/>
          <w:szCs w:val="28"/>
        </w:rPr>
        <w:t>加油站内工艺管道采取埋地敷设，均采用无缝钢管，深埋</w:t>
      </w:r>
      <w:r>
        <w:rPr>
          <w:rFonts w:hint="eastAsia" w:ascii="宋体" w:hAnsi="宋体"/>
          <w:color w:val="000000"/>
          <w:kern w:val="3"/>
          <w:sz w:val="28"/>
          <w:szCs w:val="28"/>
        </w:rPr>
        <w:t>大</w:t>
      </w:r>
      <w:r>
        <w:rPr>
          <w:rFonts w:ascii="宋体" w:hAnsi="宋体"/>
          <w:color w:val="000000"/>
          <w:kern w:val="3"/>
          <w:sz w:val="28"/>
          <w:szCs w:val="28"/>
        </w:rPr>
        <w:t>于0.</w:t>
      </w:r>
      <w:r>
        <w:rPr>
          <w:rFonts w:hint="eastAsia" w:ascii="宋体" w:hAnsi="宋体"/>
          <w:color w:val="000000"/>
          <w:kern w:val="3"/>
          <w:sz w:val="28"/>
          <w:szCs w:val="28"/>
        </w:rPr>
        <w:t>4</w:t>
      </w:r>
      <w:r>
        <w:rPr>
          <w:rFonts w:ascii="宋体" w:hAnsi="宋体"/>
          <w:color w:val="000000"/>
          <w:kern w:val="3"/>
          <w:sz w:val="28"/>
          <w:szCs w:val="28"/>
        </w:rPr>
        <w:t>m，埋地前采取加强级防腐处理。与油罐相连的进油管、通气管横管均坡向油罐，坡度不小于2‰</w:t>
      </w:r>
      <w:r>
        <w:rPr>
          <w:rFonts w:hint="eastAsia" w:ascii="宋体" w:hAnsi="宋体"/>
          <w:color w:val="000000"/>
          <w:kern w:val="3"/>
          <w:sz w:val="28"/>
          <w:szCs w:val="28"/>
        </w:rPr>
        <w:t>。</w:t>
      </w:r>
    </w:p>
    <w:p w14:paraId="2044B58D">
      <w:pPr>
        <w:ind w:firstLine="560" w:firstLineChars="200"/>
        <w:jc w:val="center"/>
        <w:rPr>
          <w:rFonts w:hint="eastAsia" w:ascii="宋体" w:hAnsi="宋体"/>
          <w:color w:val="000000"/>
          <w:kern w:val="0"/>
          <w:sz w:val="28"/>
          <w:szCs w:val="28"/>
        </w:rPr>
      </w:pPr>
      <w:r>
        <w:rPr>
          <w:rFonts w:hint="eastAsia" w:ascii="宋体" w:hAnsi="宋体"/>
          <w:color w:val="000000"/>
          <w:kern w:val="0"/>
          <w:sz w:val="28"/>
          <w:szCs w:val="28"/>
        </w:rPr>
        <w:t>表2-4加油站站内设施之间的防火距离</w:t>
      </w:r>
    </w:p>
    <w:tbl>
      <w:tblPr>
        <w:tblStyle w:val="33"/>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4366"/>
        <w:gridCol w:w="1418"/>
        <w:gridCol w:w="1417"/>
      </w:tblGrid>
      <w:tr w14:paraId="28D9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37" w:type="dxa"/>
            <w:vMerge w:val="restart"/>
            <w:vAlign w:val="center"/>
          </w:tcPr>
          <w:p w14:paraId="31E3ED34">
            <w:pPr>
              <w:jc w:val="center"/>
              <w:rPr>
                <w:rFonts w:ascii="宋体" w:hAnsi="宋体"/>
                <w:color w:val="000000"/>
                <w:szCs w:val="21"/>
              </w:rPr>
            </w:pPr>
            <w:r>
              <w:rPr>
                <w:rFonts w:hint="eastAsia" w:ascii="宋体" w:hAnsi="宋体"/>
                <w:color w:val="000000"/>
                <w:szCs w:val="21"/>
              </w:rPr>
              <w:t>序号</w:t>
            </w:r>
          </w:p>
        </w:tc>
        <w:tc>
          <w:tcPr>
            <w:tcW w:w="4366" w:type="dxa"/>
            <w:vMerge w:val="restart"/>
            <w:vAlign w:val="center"/>
          </w:tcPr>
          <w:p w14:paraId="106D8C8F">
            <w:pPr>
              <w:jc w:val="center"/>
              <w:rPr>
                <w:rFonts w:ascii="宋体" w:hAnsi="宋体"/>
                <w:color w:val="000000"/>
                <w:szCs w:val="21"/>
              </w:rPr>
            </w:pPr>
            <w:r>
              <w:rPr>
                <w:rFonts w:hint="eastAsia" w:ascii="宋体" w:hAnsi="宋体"/>
                <w:color w:val="000000"/>
                <w:szCs w:val="21"/>
              </w:rPr>
              <w:t>项        目</w:t>
            </w:r>
          </w:p>
        </w:tc>
        <w:tc>
          <w:tcPr>
            <w:tcW w:w="2835" w:type="dxa"/>
            <w:gridSpan w:val="2"/>
            <w:vAlign w:val="center"/>
          </w:tcPr>
          <w:p w14:paraId="1CF520CE">
            <w:pPr>
              <w:jc w:val="center"/>
              <w:rPr>
                <w:rFonts w:ascii="宋体" w:hAnsi="宋体"/>
                <w:color w:val="000000"/>
                <w:szCs w:val="21"/>
              </w:rPr>
            </w:pPr>
            <w:r>
              <w:rPr>
                <w:rFonts w:hint="eastAsia" w:ascii="宋体" w:hAnsi="宋体"/>
                <w:color w:val="000000"/>
                <w:szCs w:val="21"/>
              </w:rPr>
              <w:t>距         离</w:t>
            </w:r>
            <w:r>
              <w:rPr>
                <w:rFonts w:hint="eastAsia" w:ascii="宋体" w:hAnsi="宋体"/>
                <w:color w:val="000000"/>
                <w:sz w:val="24"/>
                <w:szCs w:val="28"/>
              </w:rPr>
              <w:t>（m）</w:t>
            </w:r>
          </w:p>
        </w:tc>
      </w:tr>
      <w:tr w14:paraId="436D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37" w:type="dxa"/>
            <w:vMerge w:val="continue"/>
            <w:vAlign w:val="center"/>
          </w:tcPr>
          <w:p w14:paraId="4FA3A1EE">
            <w:pPr>
              <w:jc w:val="center"/>
              <w:rPr>
                <w:rFonts w:ascii="宋体" w:hAnsi="宋体"/>
                <w:color w:val="000000"/>
                <w:szCs w:val="21"/>
              </w:rPr>
            </w:pPr>
          </w:p>
        </w:tc>
        <w:tc>
          <w:tcPr>
            <w:tcW w:w="4366" w:type="dxa"/>
            <w:vMerge w:val="continue"/>
            <w:vAlign w:val="center"/>
          </w:tcPr>
          <w:p w14:paraId="3C6D0444">
            <w:pPr>
              <w:jc w:val="center"/>
              <w:rPr>
                <w:rFonts w:ascii="宋体" w:hAnsi="宋体"/>
                <w:color w:val="000000"/>
                <w:szCs w:val="21"/>
              </w:rPr>
            </w:pPr>
          </w:p>
        </w:tc>
        <w:tc>
          <w:tcPr>
            <w:tcW w:w="1418" w:type="dxa"/>
            <w:vAlign w:val="center"/>
          </w:tcPr>
          <w:p w14:paraId="51FFB107">
            <w:pPr>
              <w:jc w:val="center"/>
              <w:rPr>
                <w:rFonts w:ascii="宋体" w:hAnsi="宋体"/>
                <w:color w:val="000000"/>
                <w:szCs w:val="21"/>
              </w:rPr>
            </w:pPr>
            <w:r>
              <w:rPr>
                <w:rFonts w:hint="eastAsia" w:ascii="宋体" w:hAnsi="宋体"/>
                <w:color w:val="000000"/>
                <w:szCs w:val="21"/>
              </w:rPr>
              <w:t>标准值</w:t>
            </w:r>
          </w:p>
        </w:tc>
        <w:tc>
          <w:tcPr>
            <w:tcW w:w="1417" w:type="dxa"/>
            <w:vAlign w:val="center"/>
          </w:tcPr>
          <w:p w14:paraId="2477944D">
            <w:pPr>
              <w:jc w:val="center"/>
              <w:rPr>
                <w:rFonts w:ascii="宋体" w:hAnsi="宋体"/>
                <w:color w:val="000000"/>
                <w:szCs w:val="21"/>
              </w:rPr>
            </w:pPr>
            <w:r>
              <w:rPr>
                <w:rFonts w:hint="eastAsia" w:ascii="宋体" w:hAnsi="宋体"/>
                <w:color w:val="000000"/>
                <w:szCs w:val="21"/>
              </w:rPr>
              <w:t>实际值</w:t>
            </w:r>
          </w:p>
        </w:tc>
      </w:tr>
      <w:tr w14:paraId="035C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5D900304">
            <w:pPr>
              <w:spacing w:line="340" w:lineRule="exact"/>
              <w:rPr>
                <w:rFonts w:ascii="宋体" w:hAnsi="宋体"/>
                <w:color w:val="000000"/>
                <w:szCs w:val="21"/>
              </w:rPr>
            </w:pPr>
            <w:r>
              <w:rPr>
                <w:rFonts w:hint="eastAsia" w:ascii="宋体" w:hAnsi="宋体"/>
                <w:color w:val="000000"/>
                <w:szCs w:val="21"/>
              </w:rPr>
              <w:t>1</w:t>
            </w:r>
          </w:p>
        </w:tc>
        <w:tc>
          <w:tcPr>
            <w:tcW w:w="4366" w:type="dxa"/>
            <w:vAlign w:val="center"/>
          </w:tcPr>
          <w:p w14:paraId="19C3E8EC">
            <w:pPr>
              <w:spacing w:line="340" w:lineRule="exact"/>
              <w:rPr>
                <w:rFonts w:ascii="宋体" w:hAnsi="宋体"/>
                <w:color w:val="000000"/>
                <w:szCs w:val="21"/>
              </w:rPr>
            </w:pPr>
            <w:r>
              <w:rPr>
                <w:rFonts w:hint="eastAsia" w:ascii="宋体" w:hAnsi="宋体"/>
                <w:color w:val="000000"/>
                <w:szCs w:val="21"/>
              </w:rPr>
              <w:t>油罐之间间距</w:t>
            </w:r>
          </w:p>
        </w:tc>
        <w:tc>
          <w:tcPr>
            <w:tcW w:w="1418" w:type="dxa"/>
            <w:vAlign w:val="center"/>
          </w:tcPr>
          <w:p w14:paraId="05777DFA">
            <w:pPr>
              <w:spacing w:line="340" w:lineRule="exact"/>
              <w:jc w:val="center"/>
              <w:rPr>
                <w:rFonts w:ascii="宋体" w:hAnsi="宋体"/>
                <w:color w:val="000000"/>
                <w:szCs w:val="21"/>
              </w:rPr>
            </w:pPr>
            <w:r>
              <w:rPr>
                <w:rFonts w:hint="eastAsia" w:ascii="宋体" w:hAnsi="宋体"/>
                <w:color w:val="000000"/>
                <w:szCs w:val="21"/>
              </w:rPr>
              <w:t>0.5</w:t>
            </w:r>
          </w:p>
        </w:tc>
        <w:tc>
          <w:tcPr>
            <w:tcW w:w="1417" w:type="dxa"/>
            <w:vAlign w:val="center"/>
          </w:tcPr>
          <w:p w14:paraId="36AF2B54">
            <w:pPr>
              <w:spacing w:line="340" w:lineRule="exact"/>
              <w:jc w:val="center"/>
              <w:rPr>
                <w:rFonts w:ascii="宋体" w:hAnsi="宋体"/>
                <w:color w:val="000000"/>
                <w:szCs w:val="21"/>
              </w:rPr>
            </w:pPr>
            <w:r>
              <w:rPr>
                <w:rFonts w:hint="eastAsia" w:ascii="宋体" w:hAnsi="宋体"/>
                <w:szCs w:val="21"/>
              </w:rPr>
              <w:t>0.5</w:t>
            </w:r>
          </w:p>
        </w:tc>
      </w:tr>
      <w:tr w14:paraId="2F60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57BD5DEC">
            <w:pPr>
              <w:spacing w:line="340" w:lineRule="exact"/>
              <w:rPr>
                <w:rFonts w:ascii="宋体" w:hAnsi="宋体"/>
                <w:color w:val="000000"/>
                <w:szCs w:val="21"/>
              </w:rPr>
            </w:pPr>
            <w:r>
              <w:rPr>
                <w:rFonts w:hint="eastAsia" w:ascii="宋体" w:hAnsi="宋体"/>
                <w:color w:val="000000"/>
                <w:szCs w:val="21"/>
              </w:rPr>
              <w:t>2</w:t>
            </w:r>
          </w:p>
        </w:tc>
        <w:tc>
          <w:tcPr>
            <w:tcW w:w="4366" w:type="dxa"/>
            <w:vAlign w:val="center"/>
          </w:tcPr>
          <w:p w14:paraId="250C0A38">
            <w:pPr>
              <w:spacing w:line="340" w:lineRule="exact"/>
              <w:rPr>
                <w:rFonts w:ascii="宋体" w:hAnsi="宋体"/>
                <w:color w:val="000000"/>
                <w:szCs w:val="21"/>
              </w:rPr>
            </w:pPr>
            <w:r>
              <w:rPr>
                <w:rFonts w:hint="eastAsia" w:ascii="宋体" w:hAnsi="宋体"/>
                <w:color w:val="000000"/>
                <w:szCs w:val="21"/>
              </w:rPr>
              <w:t>汽油罐与站房</w:t>
            </w:r>
          </w:p>
        </w:tc>
        <w:tc>
          <w:tcPr>
            <w:tcW w:w="1418" w:type="dxa"/>
            <w:vAlign w:val="center"/>
          </w:tcPr>
          <w:p w14:paraId="1548D759">
            <w:pPr>
              <w:spacing w:line="340" w:lineRule="exact"/>
              <w:jc w:val="center"/>
              <w:rPr>
                <w:rFonts w:ascii="宋体" w:hAnsi="宋体"/>
                <w:color w:val="FF0000"/>
                <w:szCs w:val="21"/>
              </w:rPr>
            </w:pPr>
            <w:r>
              <w:rPr>
                <w:rFonts w:hint="eastAsia" w:ascii="宋体" w:hAnsi="宋体"/>
                <w:color w:val="FF0000"/>
                <w:szCs w:val="21"/>
              </w:rPr>
              <w:t>4</w:t>
            </w:r>
          </w:p>
        </w:tc>
        <w:tc>
          <w:tcPr>
            <w:tcW w:w="1417" w:type="dxa"/>
            <w:vAlign w:val="center"/>
          </w:tcPr>
          <w:p w14:paraId="22860CD3">
            <w:pPr>
              <w:spacing w:line="340" w:lineRule="exact"/>
              <w:jc w:val="center"/>
              <w:rPr>
                <w:rFonts w:hint="default" w:ascii="宋体" w:hAnsi="宋体" w:eastAsia="宋体"/>
                <w:color w:val="FF0000"/>
                <w:szCs w:val="21"/>
                <w:lang w:val="en-US" w:eastAsia="zh-CN"/>
              </w:rPr>
            </w:pPr>
            <w:r>
              <w:rPr>
                <w:rFonts w:hint="eastAsia" w:ascii="宋体" w:hAnsi="宋体"/>
                <w:color w:val="FF0000"/>
                <w:szCs w:val="21"/>
                <w:lang w:val="en-US" w:eastAsia="zh-CN"/>
              </w:rPr>
              <w:t>15.8</w:t>
            </w:r>
          </w:p>
        </w:tc>
      </w:tr>
      <w:tr w14:paraId="5D04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0EBED194">
            <w:pPr>
              <w:spacing w:line="340" w:lineRule="exact"/>
              <w:rPr>
                <w:rFonts w:ascii="宋体" w:hAnsi="宋体"/>
                <w:color w:val="000000"/>
                <w:szCs w:val="21"/>
              </w:rPr>
            </w:pPr>
            <w:r>
              <w:rPr>
                <w:rFonts w:hint="eastAsia" w:ascii="宋体" w:hAnsi="宋体"/>
                <w:color w:val="000000"/>
                <w:szCs w:val="21"/>
              </w:rPr>
              <w:t>3</w:t>
            </w:r>
          </w:p>
        </w:tc>
        <w:tc>
          <w:tcPr>
            <w:tcW w:w="4366" w:type="dxa"/>
            <w:vAlign w:val="center"/>
          </w:tcPr>
          <w:p w14:paraId="6720300D">
            <w:pPr>
              <w:spacing w:line="340" w:lineRule="exact"/>
              <w:rPr>
                <w:rFonts w:ascii="宋体" w:hAnsi="宋体"/>
                <w:color w:val="000000"/>
                <w:szCs w:val="21"/>
              </w:rPr>
            </w:pPr>
            <w:r>
              <w:rPr>
                <w:rFonts w:hint="eastAsia" w:ascii="宋体" w:hAnsi="宋体"/>
                <w:color w:val="000000"/>
                <w:szCs w:val="21"/>
              </w:rPr>
              <w:t>柴油罐与站房</w:t>
            </w:r>
          </w:p>
        </w:tc>
        <w:tc>
          <w:tcPr>
            <w:tcW w:w="1418" w:type="dxa"/>
            <w:vAlign w:val="center"/>
          </w:tcPr>
          <w:p w14:paraId="11A388D6">
            <w:pPr>
              <w:spacing w:line="340" w:lineRule="exact"/>
              <w:jc w:val="center"/>
              <w:rPr>
                <w:rFonts w:ascii="宋体" w:hAnsi="宋体"/>
                <w:color w:val="000000"/>
                <w:szCs w:val="21"/>
              </w:rPr>
            </w:pPr>
            <w:r>
              <w:rPr>
                <w:rFonts w:hint="eastAsia" w:ascii="宋体" w:hAnsi="宋体"/>
                <w:color w:val="000000"/>
                <w:szCs w:val="21"/>
              </w:rPr>
              <w:t>3</w:t>
            </w:r>
          </w:p>
        </w:tc>
        <w:tc>
          <w:tcPr>
            <w:tcW w:w="1417" w:type="dxa"/>
            <w:vAlign w:val="center"/>
          </w:tcPr>
          <w:p w14:paraId="6EA5DEAB">
            <w:pPr>
              <w:spacing w:line="340" w:lineRule="exact"/>
              <w:jc w:val="center"/>
              <w:rPr>
                <w:rFonts w:hint="default" w:ascii="宋体" w:hAnsi="宋体" w:eastAsia="宋体"/>
                <w:color w:val="000000"/>
                <w:szCs w:val="21"/>
                <w:lang w:val="en-US" w:eastAsia="zh-CN"/>
              </w:rPr>
            </w:pPr>
            <w:r>
              <w:rPr>
                <w:rFonts w:hint="eastAsia" w:ascii="宋体" w:hAnsi="宋体"/>
                <w:szCs w:val="21"/>
                <w:lang w:val="en-US" w:eastAsia="zh-CN"/>
              </w:rPr>
              <w:t>20.4</w:t>
            </w:r>
          </w:p>
        </w:tc>
      </w:tr>
      <w:tr w14:paraId="6FF3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67F12076">
            <w:pPr>
              <w:spacing w:line="340" w:lineRule="exact"/>
              <w:rPr>
                <w:rFonts w:ascii="宋体" w:hAnsi="宋体"/>
                <w:color w:val="000000"/>
                <w:szCs w:val="21"/>
              </w:rPr>
            </w:pPr>
            <w:r>
              <w:rPr>
                <w:rFonts w:hint="eastAsia" w:ascii="宋体" w:hAnsi="宋体"/>
                <w:color w:val="000000"/>
                <w:szCs w:val="21"/>
              </w:rPr>
              <w:t>4</w:t>
            </w:r>
          </w:p>
        </w:tc>
        <w:tc>
          <w:tcPr>
            <w:tcW w:w="4366" w:type="dxa"/>
            <w:vAlign w:val="center"/>
          </w:tcPr>
          <w:p w14:paraId="7F763F1A">
            <w:pPr>
              <w:spacing w:line="340" w:lineRule="exact"/>
              <w:rPr>
                <w:rFonts w:ascii="宋体" w:hAnsi="宋体"/>
                <w:color w:val="000000"/>
                <w:szCs w:val="21"/>
              </w:rPr>
            </w:pPr>
            <w:r>
              <w:rPr>
                <w:rFonts w:hint="eastAsia" w:ascii="宋体" w:hAnsi="宋体"/>
                <w:color w:val="000000"/>
                <w:szCs w:val="21"/>
              </w:rPr>
              <w:t>汽油罐与自用燃煤锅炉房和燃煤厨房</w:t>
            </w:r>
          </w:p>
        </w:tc>
        <w:tc>
          <w:tcPr>
            <w:tcW w:w="1418" w:type="dxa"/>
            <w:vAlign w:val="center"/>
          </w:tcPr>
          <w:p w14:paraId="64CA8D80">
            <w:pPr>
              <w:spacing w:line="340" w:lineRule="exact"/>
              <w:jc w:val="center"/>
              <w:rPr>
                <w:rFonts w:ascii="宋体" w:hAnsi="宋体"/>
                <w:color w:val="000000"/>
                <w:szCs w:val="21"/>
              </w:rPr>
            </w:pPr>
            <w:r>
              <w:rPr>
                <w:rFonts w:hint="eastAsia" w:ascii="宋体" w:hAnsi="宋体"/>
                <w:color w:val="000000"/>
                <w:szCs w:val="21"/>
              </w:rPr>
              <w:t>12.5</w:t>
            </w:r>
          </w:p>
        </w:tc>
        <w:tc>
          <w:tcPr>
            <w:tcW w:w="1417" w:type="dxa"/>
            <w:vAlign w:val="center"/>
          </w:tcPr>
          <w:p w14:paraId="7F8B11CE">
            <w:pPr>
              <w:spacing w:line="340" w:lineRule="exact"/>
              <w:jc w:val="center"/>
              <w:rPr>
                <w:rFonts w:ascii="宋体" w:hAnsi="宋体"/>
                <w:color w:val="000000"/>
                <w:szCs w:val="21"/>
              </w:rPr>
            </w:pPr>
            <w:r>
              <w:rPr>
                <w:rFonts w:hint="eastAsia" w:ascii="宋体" w:hAnsi="宋体"/>
                <w:szCs w:val="21"/>
              </w:rPr>
              <w:t>无此类设施</w:t>
            </w:r>
          </w:p>
        </w:tc>
      </w:tr>
      <w:tr w14:paraId="652B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19031332">
            <w:pPr>
              <w:spacing w:line="340" w:lineRule="exact"/>
              <w:rPr>
                <w:rFonts w:ascii="宋体" w:hAnsi="宋体"/>
                <w:color w:val="000000"/>
                <w:szCs w:val="21"/>
              </w:rPr>
            </w:pPr>
            <w:r>
              <w:rPr>
                <w:rFonts w:hint="eastAsia" w:ascii="宋体" w:hAnsi="宋体"/>
                <w:color w:val="000000"/>
                <w:szCs w:val="21"/>
              </w:rPr>
              <w:t>5</w:t>
            </w:r>
          </w:p>
        </w:tc>
        <w:tc>
          <w:tcPr>
            <w:tcW w:w="4366" w:type="dxa"/>
            <w:vAlign w:val="center"/>
          </w:tcPr>
          <w:p w14:paraId="20156EBF">
            <w:pPr>
              <w:spacing w:line="340" w:lineRule="exact"/>
              <w:rPr>
                <w:rFonts w:ascii="宋体" w:hAnsi="宋体"/>
                <w:color w:val="000000"/>
                <w:szCs w:val="21"/>
              </w:rPr>
            </w:pPr>
            <w:r>
              <w:rPr>
                <w:rFonts w:hint="eastAsia" w:ascii="宋体" w:hAnsi="宋体"/>
                <w:color w:val="000000"/>
                <w:szCs w:val="21"/>
              </w:rPr>
              <w:t>柴油罐与自用燃煤锅炉房和燃煤厨房</w:t>
            </w:r>
          </w:p>
        </w:tc>
        <w:tc>
          <w:tcPr>
            <w:tcW w:w="1418" w:type="dxa"/>
            <w:vAlign w:val="center"/>
          </w:tcPr>
          <w:p w14:paraId="5833630B">
            <w:pPr>
              <w:spacing w:line="340" w:lineRule="exact"/>
              <w:jc w:val="center"/>
              <w:rPr>
                <w:rFonts w:ascii="宋体" w:hAnsi="宋体"/>
                <w:color w:val="000000"/>
                <w:szCs w:val="21"/>
              </w:rPr>
            </w:pPr>
            <w:r>
              <w:rPr>
                <w:rFonts w:hint="eastAsia" w:ascii="宋体" w:hAnsi="宋体"/>
                <w:color w:val="000000"/>
                <w:szCs w:val="21"/>
              </w:rPr>
              <w:t>10</w:t>
            </w:r>
          </w:p>
        </w:tc>
        <w:tc>
          <w:tcPr>
            <w:tcW w:w="1417" w:type="dxa"/>
            <w:vAlign w:val="center"/>
          </w:tcPr>
          <w:p w14:paraId="5BD213A0">
            <w:pPr>
              <w:spacing w:line="340" w:lineRule="exact"/>
              <w:jc w:val="center"/>
              <w:rPr>
                <w:rFonts w:ascii="宋体" w:hAnsi="宋体"/>
                <w:color w:val="000000"/>
                <w:szCs w:val="21"/>
              </w:rPr>
            </w:pPr>
            <w:r>
              <w:rPr>
                <w:rFonts w:hint="eastAsia" w:ascii="宋体" w:hAnsi="宋体"/>
                <w:szCs w:val="21"/>
              </w:rPr>
              <w:t>无此类设施</w:t>
            </w:r>
          </w:p>
        </w:tc>
      </w:tr>
      <w:tr w14:paraId="0FA7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685552D8">
            <w:pPr>
              <w:spacing w:line="340" w:lineRule="exact"/>
              <w:rPr>
                <w:rFonts w:ascii="宋体" w:hAnsi="宋体"/>
                <w:color w:val="000000"/>
                <w:szCs w:val="21"/>
              </w:rPr>
            </w:pPr>
            <w:r>
              <w:rPr>
                <w:rFonts w:hint="eastAsia" w:ascii="宋体" w:hAnsi="宋体"/>
                <w:color w:val="000000"/>
                <w:szCs w:val="21"/>
              </w:rPr>
              <w:t>6</w:t>
            </w:r>
          </w:p>
        </w:tc>
        <w:tc>
          <w:tcPr>
            <w:tcW w:w="4366" w:type="dxa"/>
            <w:vAlign w:val="center"/>
          </w:tcPr>
          <w:p w14:paraId="0066061D">
            <w:pPr>
              <w:spacing w:line="340" w:lineRule="exact"/>
              <w:rPr>
                <w:rFonts w:ascii="宋体" w:hAnsi="宋体"/>
                <w:color w:val="000000"/>
                <w:szCs w:val="21"/>
              </w:rPr>
            </w:pPr>
            <w:r>
              <w:rPr>
                <w:rFonts w:hint="eastAsia" w:ascii="宋体" w:hAnsi="宋体"/>
                <w:color w:val="000000"/>
                <w:szCs w:val="21"/>
              </w:rPr>
              <w:t>汽油罐与自用有燃气（油）设备的房间</w:t>
            </w:r>
          </w:p>
        </w:tc>
        <w:tc>
          <w:tcPr>
            <w:tcW w:w="1418" w:type="dxa"/>
            <w:vAlign w:val="center"/>
          </w:tcPr>
          <w:p w14:paraId="67BB205E">
            <w:pPr>
              <w:spacing w:line="340" w:lineRule="exact"/>
              <w:jc w:val="center"/>
              <w:rPr>
                <w:rFonts w:ascii="宋体" w:hAnsi="宋体"/>
                <w:color w:val="000000"/>
                <w:szCs w:val="21"/>
              </w:rPr>
            </w:pPr>
            <w:r>
              <w:rPr>
                <w:rFonts w:hint="eastAsia" w:ascii="宋体" w:hAnsi="宋体"/>
                <w:color w:val="000000"/>
                <w:szCs w:val="21"/>
              </w:rPr>
              <w:t>8</w:t>
            </w:r>
          </w:p>
        </w:tc>
        <w:tc>
          <w:tcPr>
            <w:tcW w:w="1417" w:type="dxa"/>
            <w:vAlign w:val="center"/>
          </w:tcPr>
          <w:p w14:paraId="3B4FE588">
            <w:pPr>
              <w:spacing w:line="340" w:lineRule="exact"/>
              <w:jc w:val="center"/>
              <w:rPr>
                <w:rFonts w:ascii="宋体" w:hAnsi="宋体"/>
                <w:szCs w:val="21"/>
              </w:rPr>
            </w:pPr>
            <w:r>
              <w:rPr>
                <w:rFonts w:hint="eastAsia" w:ascii="宋体" w:hAnsi="宋体"/>
                <w:szCs w:val="21"/>
              </w:rPr>
              <w:t>无此类设施</w:t>
            </w:r>
          </w:p>
        </w:tc>
      </w:tr>
      <w:tr w14:paraId="753A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0CF97CD6">
            <w:pPr>
              <w:spacing w:line="340" w:lineRule="exact"/>
              <w:rPr>
                <w:rFonts w:ascii="宋体" w:hAnsi="宋体"/>
                <w:color w:val="000000"/>
                <w:szCs w:val="21"/>
              </w:rPr>
            </w:pPr>
            <w:r>
              <w:rPr>
                <w:rFonts w:hint="eastAsia" w:ascii="宋体" w:hAnsi="宋体"/>
                <w:color w:val="000000"/>
                <w:szCs w:val="21"/>
              </w:rPr>
              <w:t>7</w:t>
            </w:r>
          </w:p>
        </w:tc>
        <w:tc>
          <w:tcPr>
            <w:tcW w:w="4366" w:type="dxa"/>
            <w:vAlign w:val="center"/>
          </w:tcPr>
          <w:p w14:paraId="3E650143">
            <w:pPr>
              <w:spacing w:line="340" w:lineRule="exact"/>
              <w:rPr>
                <w:rFonts w:ascii="宋体" w:hAnsi="宋体"/>
                <w:color w:val="000000"/>
                <w:szCs w:val="21"/>
              </w:rPr>
            </w:pPr>
            <w:r>
              <w:rPr>
                <w:rFonts w:hint="eastAsia" w:ascii="宋体" w:hAnsi="宋体"/>
                <w:color w:val="000000"/>
                <w:szCs w:val="21"/>
              </w:rPr>
              <w:t>柴油罐与自用有燃气（油）设备的房间</w:t>
            </w:r>
          </w:p>
        </w:tc>
        <w:tc>
          <w:tcPr>
            <w:tcW w:w="1418" w:type="dxa"/>
            <w:vAlign w:val="center"/>
          </w:tcPr>
          <w:p w14:paraId="22B986D0">
            <w:pPr>
              <w:spacing w:line="340" w:lineRule="exact"/>
              <w:jc w:val="center"/>
              <w:rPr>
                <w:rFonts w:ascii="宋体" w:hAnsi="宋体"/>
                <w:color w:val="000000"/>
                <w:szCs w:val="21"/>
              </w:rPr>
            </w:pPr>
            <w:r>
              <w:rPr>
                <w:rFonts w:hint="eastAsia" w:ascii="宋体" w:hAnsi="宋体"/>
                <w:color w:val="000000"/>
                <w:szCs w:val="21"/>
              </w:rPr>
              <w:t>6</w:t>
            </w:r>
          </w:p>
        </w:tc>
        <w:tc>
          <w:tcPr>
            <w:tcW w:w="1417" w:type="dxa"/>
            <w:vAlign w:val="center"/>
          </w:tcPr>
          <w:p w14:paraId="1884F97D">
            <w:pPr>
              <w:spacing w:line="340" w:lineRule="exact"/>
              <w:jc w:val="center"/>
              <w:rPr>
                <w:rFonts w:ascii="宋体" w:hAnsi="宋体"/>
                <w:szCs w:val="21"/>
              </w:rPr>
            </w:pPr>
            <w:r>
              <w:rPr>
                <w:rFonts w:hint="eastAsia" w:ascii="宋体" w:hAnsi="宋体"/>
                <w:szCs w:val="21"/>
              </w:rPr>
              <w:t>无此类设施</w:t>
            </w:r>
          </w:p>
        </w:tc>
      </w:tr>
      <w:tr w14:paraId="5B9B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7A08CBE5">
            <w:pPr>
              <w:spacing w:line="340" w:lineRule="exact"/>
              <w:rPr>
                <w:rFonts w:ascii="宋体" w:hAnsi="宋体"/>
                <w:color w:val="000000"/>
                <w:szCs w:val="21"/>
              </w:rPr>
            </w:pPr>
            <w:r>
              <w:rPr>
                <w:rFonts w:hint="eastAsia" w:ascii="宋体" w:hAnsi="宋体"/>
                <w:color w:val="000000"/>
                <w:szCs w:val="21"/>
              </w:rPr>
              <w:t>8</w:t>
            </w:r>
          </w:p>
        </w:tc>
        <w:tc>
          <w:tcPr>
            <w:tcW w:w="4366" w:type="dxa"/>
            <w:vAlign w:val="center"/>
          </w:tcPr>
          <w:p w14:paraId="21370F3C">
            <w:pPr>
              <w:spacing w:line="340" w:lineRule="exact"/>
              <w:rPr>
                <w:rFonts w:ascii="宋体" w:hAnsi="宋体"/>
                <w:color w:val="000000"/>
                <w:szCs w:val="21"/>
              </w:rPr>
            </w:pPr>
            <w:r>
              <w:rPr>
                <w:rFonts w:hint="eastAsia" w:ascii="宋体" w:hAnsi="宋体"/>
                <w:color w:val="000000"/>
                <w:szCs w:val="21"/>
              </w:rPr>
              <w:t>汽油罐与站区围墙</w:t>
            </w:r>
          </w:p>
        </w:tc>
        <w:tc>
          <w:tcPr>
            <w:tcW w:w="1418" w:type="dxa"/>
            <w:vAlign w:val="center"/>
          </w:tcPr>
          <w:p w14:paraId="76BD8F4A">
            <w:pPr>
              <w:spacing w:line="340" w:lineRule="exact"/>
              <w:jc w:val="center"/>
              <w:rPr>
                <w:rFonts w:ascii="宋体" w:hAnsi="宋体"/>
                <w:color w:val="000000"/>
                <w:szCs w:val="21"/>
              </w:rPr>
            </w:pPr>
            <w:r>
              <w:rPr>
                <w:rFonts w:hint="eastAsia" w:ascii="宋体" w:hAnsi="宋体"/>
                <w:color w:val="000000"/>
                <w:szCs w:val="21"/>
              </w:rPr>
              <w:t>2</w:t>
            </w:r>
          </w:p>
        </w:tc>
        <w:tc>
          <w:tcPr>
            <w:tcW w:w="1417" w:type="dxa"/>
            <w:vAlign w:val="center"/>
          </w:tcPr>
          <w:p w14:paraId="4491DA97">
            <w:pPr>
              <w:spacing w:line="340" w:lineRule="exact"/>
              <w:jc w:val="center"/>
              <w:rPr>
                <w:rFonts w:hint="default" w:ascii="宋体" w:hAnsi="宋体" w:eastAsia="宋体"/>
                <w:szCs w:val="21"/>
                <w:lang w:val="en-US" w:eastAsia="zh-CN"/>
              </w:rPr>
            </w:pPr>
            <w:r>
              <w:rPr>
                <w:rFonts w:hint="eastAsia" w:ascii="宋体" w:hAnsi="宋体"/>
                <w:szCs w:val="21"/>
              </w:rPr>
              <w:t>无此类设施</w:t>
            </w:r>
          </w:p>
        </w:tc>
      </w:tr>
      <w:tr w14:paraId="51AB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122584C5">
            <w:pPr>
              <w:spacing w:line="340" w:lineRule="exact"/>
              <w:rPr>
                <w:rFonts w:ascii="宋体" w:hAnsi="宋体"/>
                <w:color w:val="000000"/>
                <w:szCs w:val="21"/>
              </w:rPr>
            </w:pPr>
            <w:r>
              <w:rPr>
                <w:rFonts w:hint="eastAsia" w:ascii="宋体" w:hAnsi="宋体"/>
                <w:color w:val="000000"/>
                <w:szCs w:val="21"/>
              </w:rPr>
              <w:t>9</w:t>
            </w:r>
          </w:p>
        </w:tc>
        <w:tc>
          <w:tcPr>
            <w:tcW w:w="4366" w:type="dxa"/>
            <w:vAlign w:val="center"/>
          </w:tcPr>
          <w:p w14:paraId="5E22285F">
            <w:pPr>
              <w:spacing w:line="340" w:lineRule="exact"/>
              <w:rPr>
                <w:rFonts w:ascii="宋体" w:hAnsi="宋体"/>
                <w:color w:val="000000"/>
                <w:szCs w:val="21"/>
              </w:rPr>
            </w:pPr>
            <w:r>
              <w:rPr>
                <w:rFonts w:hint="eastAsia" w:ascii="宋体" w:hAnsi="宋体"/>
                <w:color w:val="000000"/>
                <w:szCs w:val="21"/>
              </w:rPr>
              <w:t>柴油罐与站区围墙</w:t>
            </w:r>
          </w:p>
        </w:tc>
        <w:tc>
          <w:tcPr>
            <w:tcW w:w="1418" w:type="dxa"/>
            <w:vAlign w:val="center"/>
          </w:tcPr>
          <w:p w14:paraId="184CE11C">
            <w:pPr>
              <w:spacing w:line="340" w:lineRule="exact"/>
              <w:jc w:val="center"/>
              <w:rPr>
                <w:rFonts w:ascii="宋体" w:hAnsi="宋体"/>
                <w:color w:val="000000"/>
                <w:szCs w:val="21"/>
              </w:rPr>
            </w:pPr>
            <w:r>
              <w:rPr>
                <w:rFonts w:hint="eastAsia" w:ascii="宋体" w:hAnsi="宋体"/>
                <w:color w:val="000000"/>
                <w:szCs w:val="21"/>
              </w:rPr>
              <w:t>2</w:t>
            </w:r>
          </w:p>
        </w:tc>
        <w:tc>
          <w:tcPr>
            <w:tcW w:w="1417" w:type="dxa"/>
            <w:vAlign w:val="center"/>
          </w:tcPr>
          <w:p w14:paraId="6775717E">
            <w:pPr>
              <w:spacing w:line="340" w:lineRule="exact"/>
              <w:jc w:val="center"/>
              <w:rPr>
                <w:rFonts w:hint="default" w:ascii="宋体" w:hAnsi="宋体" w:eastAsia="宋体"/>
                <w:szCs w:val="21"/>
                <w:lang w:val="en-US" w:eastAsia="zh-CN"/>
              </w:rPr>
            </w:pPr>
            <w:r>
              <w:rPr>
                <w:rFonts w:hint="eastAsia" w:ascii="宋体" w:hAnsi="宋体"/>
                <w:szCs w:val="21"/>
              </w:rPr>
              <w:t>无此类设施</w:t>
            </w:r>
          </w:p>
        </w:tc>
      </w:tr>
      <w:tr w14:paraId="74F3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0D53E09C">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0</w:t>
            </w:r>
          </w:p>
        </w:tc>
        <w:tc>
          <w:tcPr>
            <w:tcW w:w="4366" w:type="dxa"/>
            <w:vAlign w:val="center"/>
          </w:tcPr>
          <w:p w14:paraId="3E1A25BB">
            <w:pPr>
              <w:spacing w:line="340" w:lineRule="exact"/>
              <w:rPr>
                <w:rFonts w:ascii="宋体" w:hAnsi="宋体"/>
                <w:color w:val="000000"/>
                <w:szCs w:val="21"/>
              </w:rPr>
            </w:pPr>
            <w:r>
              <w:rPr>
                <w:rFonts w:hint="eastAsia" w:ascii="宋体" w:hAnsi="宋体"/>
                <w:color w:val="000000"/>
                <w:szCs w:val="21"/>
              </w:rPr>
              <w:t>汽油通气管管口与油品卸车点</w:t>
            </w:r>
          </w:p>
        </w:tc>
        <w:tc>
          <w:tcPr>
            <w:tcW w:w="1418" w:type="dxa"/>
            <w:vAlign w:val="center"/>
          </w:tcPr>
          <w:p w14:paraId="3D98F786">
            <w:pPr>
              <w:spacing w:line="340" w:lineRule="exact"/>
              <w:jc w:val="center"/>
              <w:rPr>
                <w:rFonts w:ascii="宋体" w:hAnsi="宋体"/>
                <w:color w:val="000000"/>
                <w:szCs w:val="21"/>
              </w:rPr>
            </w:pPr>
            <w:r>
              <w:rPr>
                <w:rFonts w:hint="eastAsia" w:ascii="宋体" w:hAnsi="宋体"/>
                <w:color w:val="000000"/>
                <w:szCs w:val="21"/>
              </w:rPr>
              <w:t>3</w:t>
            </w:r>
          </w:p>
        </w:tc>
        <w:tc>
          <w:tcPr>
            <w:tcW w:w="1417" w:type="dxa"/>
            <w:vAlign w:val="center"/>
          </w:tcPr>
          <w:p w14:paraId="75487E78">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10.1</w:t>
            </w:r>
          </w:p>
        </w:tc>
      </w:tr>
      <w:tr w14:paraId="7ACA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37489DC6">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1</w:t>
            </w:r>
          </w:p>
        </w:tc>
        <w:tc>
          <w:tcPr>
            <w:tcW w:w="4366" w:type="dxa"/>
            <w:vAlign w:val="center"/>
          </w:tcPr>
          <w:p w14:paraId="58254EAC">
            <w:pPr>
              <w:spacing w:line="340" w:lineRule="exact"/>
              <w:rPr>
                <w:rFonts w:ascii="宋体" w:hAnsi="宋体"/>
                <w:color w:val="000000"/>
                <w:szCs w:val="21"/>
              </w:rPr>
            </w:pPr>
            <w:r>
              <w:rPr>
                <w:rFonts w:hint="eastAsia" w:ascii="宋体" w:hAnsi="宋体"/>
                <w:color w:val="000000"/>
                <w:szCs w:val="21"/>
              </w:rPr>
              <w:t>柴油通气管管口与油品卸车点</w:t>
            </w:r>
          </w:p>
        </w:tc>
        <w:tc>
          <w:tcPr>
            <w:tcW w:w="1418" w:type="dxa"/>
            <w:vAlign w:val="center"/>
          </w:tcPr>
          <w:p w14:paraId="49ED2058">
            <w:pPr>
              <w:spacing w:line="340" w:lineRule="exact"/>
              <w:jc w:val="center"/>
              <w:rPr>
                <w:rFonts w:ascii="宋体" w:hAnsi="宋体"/>
                <w:color w:val="000000"/>
                <w:szCs w:val="21"/>
              </w:rPr>
            </w:pPr>
            <w:r>
              <w:rPr>
                <w:rFonts w:hint="eastAsia" w:ascii="宋体" w:hAnsi="宋体"/>
                <w:color w:val="000000"/>
                <w:szCs w:val="21"/>
              </w:rPr>
              <w:t>2</w:t>
            </w:r>
          </w:p>
        </w:tc>
        <w:tc>
          <w:tcPr>
            <w:tcW w:w="1417" w:type="dxa"/>
            <w:vAlign w:val="center"/>
          </w:tcPr>
          <w:p w14:paraId="59290FE5">
            <w:pPr>
              <w:spacing w:line="340" w:lineRule="exact"/>
              <w:jc w:val="center"/>
              <w:rPr>
                <w:rFonts w:hint="default" w:ascii="宋体" w:hAnsi="宋体" w:eastAsia="宋体"/>
                <w:szCs w:val="21"/>
                <w:lang w:val="en-US" w:eastAsia="zh-CN"/>
              </w:rPr>
            </w:pPr>
            <w:r>
              <w:rPr>
                <w:rFonts w:hint="eastAsia" w:ascii="宋体" w:hAnsi="宋体"/>
                <w:szCs w:val="21"/>
                <w:lang w:val="en-US" w:eastAsia="zh-CN"/>
              </w:rPr>
              <w:t>9.8</w:t>
            </w:r>
          </w:p>
        </w:tc>
      </w:tr>
      <w:tr w14:paraId="7B9E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5B344A1A">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2</w:t>
            </w:r>
          </w:p>
        </w:tc>
        <w:tc>
          <w:tcPr>
            <w:tcW w:w="4366" w:type="dxa"/>
            <w:vAlign w:val="center"/>
          </w:tcPr>
          <w:p w14:paraId="259A1224">
            <w:pPr>
              <w:spacing w:line="340" w:lineRule="exact"/>
              <w:rPr>
                <w:rFonts w:ascii="宋体" w:hAnsi="宋体"/>
                <w:color w:val="000000"/>
                <w:szCs w:val="21"/>
              </w:rPr>
            </w:pPr>
            <w:r>
              <w:rPr>
                <w:rFonts w:hint="eastAsia" w:ascii="宋体" w:hAnsi="宋体"/>
                <w:color w:val="000000"/>
                <w:szCs w:val="21"/>
              </w:rPr>
              <w:t>汽油通气管管口与站房</w:t>
            </w:r>
          </w:p>
        </w:tc>
        <w:tc>
          <w:tcPr>
            <w:tcW w:w="1418" w:type="dxa"/>
            <w:vAlign w:val="center"/>
          </w:tcPr>
          <w:p w14:paraId="233316FF">
            <w:pPr>
              <w:spacing w:line="340" w:lineRule="exact"/>
              <w:jc w:val="center"/>
              <w:rPr>
                <w:rFonts w:ascii="宋体" w:hAnsi="宋体"/>
                <w:color w:val="000000"/>
                <w:szCs w:val="21"/>
              </w:rPr>
            </w:pPr>
            <w:r>
              <w:rPr>
                <w:rFonts w:hint="eastAsia" w:ascii="宋体" w:hAnsi="宋体"/>
                <w:color w:val="000000"/>
                <w:szCs w:val="21"/>
              </w:rPr>
              <w:t>4</w:t>
            </w:r>
          </w:p>
        </w:tc>
        <w:tc>
          <w:tcPr>
            <w:tcW w:w="1417" w:type="dxa"/>
            <w:vAlign w:val="center"/>
          </w:tcPr>
          <w:p w14:paraId="58160B00">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19.6</w:t>
            </w:r>
          </w:p>
        </w:tc>
      </w:tr>
      <w:tr w14:paraId="4F4D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5F2C4053">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3</w:t>
            </w:r>
          </w:p>
        </w:tc>
        <w:tc>
          <w:tcPr>
            <w:tcW w:w="4366" w:type="dxa"/>
            <w:vAlign w:val="center"/>
          </w:tcPr>
          <w:p w14:paraId="31FCF269">
            <w:pPr>
              <w:spacing w:line="340" w:lineRule="exact"/>
              <w:rPr>
                <w:rFonts w:ascii="宋体" w:hAnsi="宋体"/>
                <w:color w:val="000000"/>
                <w:szCs w:val="21"/>
              </w:rPr>
            </w:pPr>
            <w:r>
              <w:rPr>
                <w:rFonts w:hint="eastAsia" w:ascii="宋体" w:hAnsi="宋体"/>
                <w:color w:val="000000"/>
                <w:szCs w:val="21"/>
              </w:rPr>
              <w:t>柴油通气管管口与站房</w:t>
            </w:r>
          </w:p>
        </w:tc>
        <w:tc>
          <w:tcPr>
            <w:tcW w:w="1418" w:type="dxa"/>
            <w:vAlign w:val="center"/>
          </w:tcPr>
          <w:p w14:paraId="5545CD8C">
            <w:pPr>
              <w:spacing w:line="340" w:lineRule="exact"/>
              <w:jc w:val="center"/>
              <w:rPr>
                <w:rFonts w:ascii="宋体" w:hAnsi="宋体"/>
                <w:color w:val="000000"/>
                <w:szCs w:val="21"/>
              </w:rPr>
            </w:pPr>
            <w:r>
              <w:rPr>
                <w:rFonts w:hint="eastAsia" w:ascii="宋体" w:hAnsi="宋体"/>
                <w:color w:val="000000"/>
                <w:szCs w:val="21"/>
              </w:rPr>
              <w:t>3.5</w:t>
            </w:r>
          </w:p>
        </w:tc>
        <w:tc>
          <w:tcPr>
            <w:tcW w:w="1417" w:type="dxa"/>
            <w:vAlign w:val="center"/>
          </w:tcPr>
          <w:p w14:paraId="373B2F56">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19.9</w:t>
            </w:r>
          </w:p>
        </w:tc>
      </w:tr>
      <w:tr w14:paraId="37F0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0585CA91">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4</w:t>
            </w:r>
          </w:p>
        </w:tc>
        <w:tc>
          <w:tcPr>
            <w:tcW w:w="4366" w:type="dxa"/>
            <w:vAlign w:val="center"/>
          </w:tcPr>
          <w:p w14:paraId="4AC3F594">
            <w:pPr>
              <w:spacing w:line="340" w:lineRule="exact"/>
              <w:rPr>
                <w:rFonts w:ascii="宋体" w:hAnsi="宋体"/>
                <w:color w:val="000000"/>
                <w:szCs w:val="21"/>
              </w:rPr>
            </w:pPr>
            <w:r>
              <w:rPr>
                <w:rFonts w:hint="eastAsia" w:ascii="宋体" w:hAnsi="宋体"/>
                <w:color w:val="000000"/>
                <w:szCs w:val="21"/>
              </w:rPr>
              <w:t>汽油通气管管口与自用有燃气（油）设备的房间</w:t>
            </w:r>
          </w:p>
        </w:tc>
        <w:tc>
          <w:tcPr>
            <w:tcW w:w="1418" w:type="dxa"/>
            <w:vAlign w:val="center"/>
          </w:tcPr>
          <w:p w14:paraId="1E9EBEC2">
            <w:pPr>
              <w:spacing w:line="340" w:lineRule="exact"/>
              <w:jc w:val="center"/>
              <w:rPr>
                <w:rFonts w:ascii="宋体" w:hAnsi="宋体"/>
                <w:color w:val="000000"/>
                <w:szCs w:val="21"/>
              </w:rPr>
            </w:pPr>
            <w:r>
              <w:rPr>
                <w:rFonts w:hint="eastAsia" w:ascii="宋体" w:hAnsi="宋体"/>
                <w:color w:val="000000"/>
                <w:szCs w:val="21"/>
              </w:rPr>
              <w:t>8</w:t>
            </w:r>
          </w:p>
        </w:tc>
        <w:tc>
          <w:tcPr>
            <w:tcW w:w="1417" w:type="dxa"/>
            <w:vAlign w:val="center"/>
          </w:tcPr>
          <w:p w14:paraId="35EC1308">
            <w:pPr>
              <w:spacing w:line="340" w:lineRule="exact"/>
              <w:jc w:val="center"/>
              <w:rPr>
                <w:rFonts w:ascii="宋体" w:hAnsi="宋体"/>
                <w:szCs w:val="21"/>
              </w:rPr>
            </w:pPr>
            <w:r>
              <w:rPr>
                <w:rFonts w:hint="eastAsia" w:ascii="宋体" w:hAnsi="宋体"/>
                <w:szCs w:val="21"/>
              </w:rPr>
              <w:t>无此类设施</w:t>
            </w:r>
          </w:p>
        </w:tc>
      </w:tr>
      <w:tr w14:paraId="3F9F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14C8F0BA">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5</w:t>
            </w:r>
          </w:p>
        </w:tc>
        <w:tc>
          <w:tcPr>
            <w:tcW w:w="4366" w:type="dxa"/>
            <w:vAlign w:val="center"/>
          </w:tcPr>
          <w:p w14:paraId="5F48BC60">
            <w:pPr>
              <w:spacing w:line="340" w:lineRule="exact"/>
              <w:rPr>
                <w:rFonts w:ascii="宋体" w:hAnsi="宋体"/>
                <w:color w:val="000000"/>
                <w:szCs w:val="21"/>
              </w:rPr>
            </w:pPr>
            <w:r>
              <w:rPr>
                <w:rFonts w:hint="eastAsia" w:ascii="宋体" w:hAnsi="宋体"/>
                <w:color w:val="000000"/>
                <w:szCs w:val="21"/>
              </w:rPr>
              <w:t>柴油通气管管口与自用有燃气（油）设备的房间</w:t>
            </w:r>
          </w:p>
        </w:tc>
        <w:tc>
          <w:tcPr>
            <w:tcW w:w="1418" w:type="dxa"/>
            <w:vAlign w:val="center"/>
          </w:tcPr>
          <w:p w14:paraId="33B708A6">
            <w:pPr>
              <w:spacing w:line="340" w:lineRule="exact"/>
              <w:jc w:val="center"/>
              <w:rPr>
                <w:rFonts w:ascii="宋体" w:hAnsi="宋体"/>
                <w:color w:val="000000"/>
                <w:szCs w:val="21"/>
              </w:rPr>
            </w:pPr>
            <w:r>
              <w:rPr>
                <w:rFonts w:hint="eastAsia" w:ascii="宋体" w:hAnsi="宋体"/>
                <w:color w:val="000000"/>
                <w:szCs w:val="21"/>
              </w:rPr>
              <w:t>6</w:t>
            </w:r>
          </w:p>
        </w:tc>
        <w:tc>
          <w:tcPr>
            <w:tcW w:w="1417" w:type="dxa"/>
            <w:vAlign w:val="center"/>
          </w:tcPr>
          <w:p w14:paraId="419020CE">
            <w:pPr>
              <w:spacing w:line="340" w:lineRule="exact"/>
              <w:jc w:val="center"/>
              <w:rPr>
                <w:rFonts w:ascii="宋体" w:hAnsi="宋体"/>
                <w:szCs w:val="21"/>
              </w:rPr>
            </w:pPr>
            <w:r>
              <w:rPr>
                <w:rFonts w:hint="eastAsia" w:ascii="宋体" w:hAnsi="宋体"/>
                <w:szCs w:val="21"/>
              </w:rPr>
              <w:t>无此类设施</w:t>
            </w:r>
          </w:p>
        </w:tc>
      </w:tr>
      <w:tr w14:paraId="365F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2A5FD233">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6</w:t>
            </w:r>
          </w:p>
        </w:tc>
        <w:tc>
          <w:tcPr>
            <w:tcW w:w="4366" w:type="dxa"/>
            <w:vAlign w:val="center"/>
          </w:tcPr>
          <w:p w14:paraId="32537E8E">
            <w:pPr>
              <w:spacing w:line="340" w:lineRule="exact"/>
              <w:rPr>
                <w:rFonts w:ascii="宋体" w:hAnsi="宋体"/>
                <w:color w:val="000000"/>
                <w:szCs w:val="21"/>
              </w:rPr>
            </w:pPr>
            <w:r>
              <w:rPr>
                <w:rFonts w:hint="eastAsia" w:ascii="宋体" w:hAnsi="宋体"/>
                <w:color w:val="000000"/>
                <w:szCs w:val="21"/>
              </w:rPr>
              <w:t>汽油通气管管口与站区围墙</w:t>
            </w:r>
          </w:p>
        </w:tc>
        <w:tc>
          <w:tcPr>
            <w:tcW w:w="1418" w:type="dxa"/>
            <w:vAlign w:val="center"/>
          </w:tcPr>
          <w:p w14:paraId="066FEC28">
            <w:pPr>
              <w:spacing w:line="340" w:lineRule="exact"/>
              <w:jc w:val="center"/>
              <w:rPr>
                <w:rFonts w:ascii="宋体" w:hAnsi="宋体"/>
                <w:color w:val="000000"/>
                <w:szCs w:val="21"/>
              </w:rPr>
            </w:pPr>
            <w:r>
              <w:rPr>
                <w:rFonts w:hint="eastAsia" w:ascii="宋体" w:hAnsi="宋体"/>
                <w:color w:val="000000"/>
                <w:szCs w:val="21"/>
              </w:rPr>
              <w:t>2</w:t>
            </w:r>
          </w:p>
        </w:tc>
        <w:tc>
          <w:tcPr>
            <w:tcW w:w="1417" w:type="dxa"/>
            <w:vAlign w:val="center"/>
          </w:tcPr>
          <w:p w14:paraId="5E58E2D2">
            <w:pPr>
              <w:spacing w:line="340" w:lineRule="exact"/>
              <w:jc w:val="center"/>
              <w:rPr>
                <w:rFonts w:hint="default" w:ascii="宋体" w:hAnsi="宋体" w:eastAsia="宋体"/>
                <w:color w:val="000000"/>
                <w:szCs w:val="21"/>
                <w:lang w:val="en-US" w:eastAsia="zh-CN"/>
              </w:rPr>
            </w:pPr>
            <w:r>
              <w:rPr>
                <w:rFonts w:hint="eastAsia" w:ascii="宋体" w:hAnsi="宋体"/>
                <w:szCs w:val="21"/>
                <w:lang w:val="en-US" w:eastAsia="zh-CN"/>
              </w:rPr>
              <w:t>9</w:t>
            </w:r>
          </w:p>
        </w:tc>
      </w:tr>
      <w:tr w14:paraId="2212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7695FFAA">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4366" w:type="dxa"/>
            <w:vAlign w:val="center"/>
          </w:tcPr>
          <w:p w14:paraId="62E2BF70">
            <w:pPr>
              <w:spacing w:line="340" w:lineRule="exact"/>
              <w:rPr>
                <w:rFonts w:ascii="宋体" w:hAnsi="宋体"/>
                <w:color w:val="000000"/>
                <w:szCs w:val="21"/>
              </w:rPr>
            </w:pPr>
            <w:r>
              <w:rPr>
                <w:rFonts w:hint="eastAsia" w:ascii="宋体" w:hAnsi="宋体"/>
                <w:color w:val="000000"/>
                <w:szCs w:val="21"/>
              </w:rPr>
              <w:t>柴油通气管管口与站区围墙</w:t>
            </w:r>
          </w:p>
        </w:tc>
        <w:tc>
          <w:tcPr>
            <w:tcW w:w="1418" w:type="dxa"/>
            <w:vAlign w:val="center"/>
          </w:tcPr>
          <w:p w14:paraId="75F950F7">
            <w:pPr>
              <w:spacing w:line="340" w:lineRule="exact"/>
              <w:jc w:val="center"/>
              <w:rPr>
                <w:rFonts w:ascii="宋体" w:hAnsi="宋体"/>
                <w:color w:val="000000"/>
                <w:szCs w:val="21"/>
              </w:rPr>
            </w:pPr>
            <w:r>
              <w:rPr>
                <w:rFonts w:hint="eastAsia" w:ascii="宋体" w:hAnsi="宋体"/>
                <w:color w:val="000000"/>
                <w:szCs w:val="21"/>
              </w:rPr>
              <w:t>2</w:t>
            </w:r>
          </w:p>
        </w:tc>
        <w:tc>
          <w:tcPr>
            <w:tcW w:w="1417" w:type="dxa"/>
            <w:vAlign w:val="center"/>
          </w:tcPr>
          <w:p w14:paraId="4A5A5C69">
            <w:pPr>
              <w:spacing w:line="34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8.9</w:t>
            </w:r>
          </w:p>
        </w:tc>
      </w:tr>
      <w:tr w14:paraId="4B75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0D06D7E6">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8</w:t>
            </w:r>
          </w:p>
        </w:tc>
        <w:tc>
          <w:tcPr>
            <w:tcW w:w="4366" w:type="dxa"/>
            <w:vAlign w:val="center"/>
          </w:tcPr>
          <w:p w14:paraId="66C8BBA9">
            <w:pPr>
              <w:spacing w:line="340" w:lineRule="exact"/>
              <w:rPr>
                <w:rFonts w:ascii="宋体" w:hAnsi="宋体"/>
                <w:color w:val="000000"/>
                <w:szCs w:val="21"/>
              </w:rPr>
            </w:pPr>
            <w:r>
              <w:rPr>
                <w:rFonts w:hint="eastAsia" w:ascii="宋体" w:hAnsi="宋体"/>
                <w:color w:val="000000"/>
                <w:szCs w:val="21"/>
              </w:rPr>
              <w:t>油品卸车点与站房</w:t>
            </w:r>
          </w:p>
        </w:tc>
        <w:tc>
          <w:tcPr>
            <w:tcW w:w="1418" w:type="dxa"/>
            <w:vAlign w:val="center"/>
          </w:tcPr>
          <w:p w14:paraId="344E757A">
            <w:pPr>
              <w:spacing w:line="340" w:lineRule="exact"/>
              <w:jc w:val="center"/>
              <w:rPr>
                <w:rFonts w:ascii="宋体" w:hAnsi="宋体"/>
                <w:color w:val="000000"/>
                <w:szCs w:val="21"/>
              </w:rPr>
            </w:pPr>
            <w:r>
              <w:rPr>
                <w:rFonts w:hint="eastAsia" w:ascii="宋体" w:hAnsi="宋体"/>
                <w:color w:val="000000"/>
                <w:szCs w:val="21"/>
              </w:rPr>
              <w:t>5</w:t>
            </w:r>
          </w:p>
        </w:tc>
        <w:tc>
          <w:tcPr>
            <w:tcW w:w="1417" w:type="dxa"/>
            <w:vAlign w:val="center"/>
          </w:tcPr>
          <w:p w14:paraId="7E14BB3F">
            <w:pPr>
              <w:spacing w:line="340" w:lineRule="exact"/>
              <w:jc w:val="center"/>
              <w:rPr>
                <w:rFonts w:hint="default" w:ascii="宋体" w:hAnsi="宋体" w:eastAsia="宋体"/>
                <w:color w:val="000000"/>
                <w:szCs w:val="21"/>
                <w:lang w:val="en-US" w:eastAsia="zh-CN"/>
              </w:rPr>
            </w:pPr>
            <w:r>
              <w:rPr>
                <w:rFonts w:hint="eastAsia" w:ascii="宋体" w:hAnsi="宋体"/>
                <w:szCs w:val="21"/>
                <w:lang w:val="en-US" w:eastAsia="zh-CN"/>
              </w:rPr>
              <w:t>30.2</w:t>
            </w:r>
          </w:p>
        </w:tc>
      </w:tr>
      <w:tr w14:paraId="1891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774A6818">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9</w:t>
            </w:r>
          </w:p>
        </w:tc>
        <w:tc>
          <w:tcPr>
            <w:tcW w:w="4366" w:type="dxa"/>
            <w:vAlign w:val="center"/>
          </w:tcPr>
          <w:p w14:paraId="66AAD2A5">
            <w:pPr>
              <w:spacing w:line="340" w:lineRule="exact"/>
              <w:rPr>
                <w:rFonts w:ascii="宋体" w:hAnsi="宋体"/>
                <w:color w:val="000000"/>
                <w:szCs w:val="21"/>
              </w:rPr>
            </w:pPr>
            <w:r>
              <w:rPr>
                <w:rFonts w:hint="eastAsia" w:ascii="宋体" w:hAnsi="宋体"/>
                <w:color w:val="000000"/>
                <w:szCs w:val="21"/>
              </w:rPr>
              <w:t>油品卸车点与自用有燃气（油）设备的房间</w:t>
            </w:r>
          </w:p>
        </w:tc>
        <w:tc>
          <w:tcPr>
            <w:tcW w:w="1418" w:type="dxa"/>
            <w:vAlign w:val="center"/>
          </w:tcPr>
          <w:p w14:paraId="07858914">
            <w:pPr>
              <w:spacing w:line="340" w:lineRule="exact"/>
              <w:jc w:val="center"/>
              <w:rPr>
                <w:rFonts w:ascii="宋体" w:hAnsi="宋体"/>
                <w:color w:val="000000"/>
                <w:szCs w:val="21"/>
              </w:rPr>
            </w:pPr>
            <w:r>
              <w:rPr>
                <w:rFonts w:hint="eastAsia" w:ascii="宋体" w:hAnsi="宋体"/>
                <w:color w:val="000000"/>
                <w:szCs w:val="21"/>
              </w:rPr>
              <w:t>8</w:t>
            </w:r>
          </w:p>
        </w:tc>
        <w:tc>
          <w:tcPr>
            <w:tcW w:w="1417" w:type="dxa"/>
            <w:vAlign w:val="center"/>
          </w:tcPr>
          <w:p w14:paraId="37E3C66F">
            <w:pPr>
              <w:spacing w:line="340" w:lineRule="exact"/>
              <w:jc w:val="center"/>
              <w:rPr>
                <w:rFonts w:ascii="宋体" w:hAnsi="宋体"/>
                <w:color w:val="000000"/>
                <w:szCs w:val="21"/>
              </w:rPr>
            </w:pPr>
            <w:r>
              <w:rPr>
                <w:rFonts w:hint="eastAsia" w:ascii="宋体" w:hAnsi="宋体"/>
                <w:szCs w:val="21"/>
              </w:rPr>
              <w:t>无此类设施</w:t>
            </w:r>
          </w:p>
        </w:tc>
      </w:tr>
      <w:tr w14:paraId="7FF3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tcPr>
          <w:p w14:paraId="2236C1E2">
            <w:pPr>
              <w:spacing w:line="340" w:lineRule="exact"/>
              <w:rPr>
                <w:rFonts w:ascii="宋体" w:hAnsi="宋体"/>
                <w:color w:val="000000"/>
                <w:szCs w:val="21"/>
              </w:rPr>
            </w:pPr>
            <w:r>
              <w:rPr>
                <w:rFonts w:hint="eastAsia" w:ascii="宋体" w:hAnsi="宋体"/>
                <w:color w:val="000000"/>
                <w:szCs w:val="21"/>
              </w:rPr>
              <w:t>2</w:t>
            </w:r>
            <w:r>
              <w:rPr>
                <w:rFonts w:ascii="宋体" w:hAnsi="宋体"/>
                <w:color w:val="000000"/>
                <w:szCs w:val="21"/>
              </w:rPr>
              <w:t>0</w:t>
            </w:r>
          </w:p>
        </w:tc>
        <w:tc>
          <w:tcPr>
            <w:tcW w:w="4366" w:type="dxa"/>
            <w:vAlign w:val="center"/>
          </w:tcPr>
          <w:p w14:paraId="2DD801E0">
            <w:pPr>
              <w:spacing w:line="340" w:lineRule="exact"/>
              <w:rPr>
                <w:rFonts w:ascii="宋体" w:hAnsi="宋体"/>
                <w:color w:val="000000"/>
                <w:szCs w:val="21"/>
              </w:rPr>
            </w:pPr>
            <w:r>
              <w:rPr>
                <w:rFonts w:hint="eastAsia" w:ascii="宋体" w:hAnsi="宋体"/>
                <w:color w:val="000000"/>
                <w:szCs w:val="21"/>
              </w:rPr>
              <w:t>汽油加油机与站房</w:t>
            </w:r>
          </w:p>
        </w:tc>
        <w:tc>
          <w:tcPr>
            <w:tcW w:w="1418" w:type="dxa"/>
            <w:vAlign w:val="center"/>
          </w:tcPr>
          <w:p w14:paraId="21111A73">
            <w:pPr>
              <w:spacing w:line="340" w:lineRule="exact"/>
              <w:jc w:val="center"/>
              <w:rPr>
                <w:rFonts w:ascii="宋体" w:hAnsi="宋体"/>
                <w:color w:val="000000"/>
                <w:szCs w:val="21"/>
              </w:rPr>
            </w:pPr>
            <w:r>
              <w:rPr>
                <w:rFonts w:hint="eastAsia" w:ascii="宋体" w:hAnsi="宋体"/>
                <w:color w:val="000000"/>
                <w:szCs w:val="21"/>
              </w:rPr>
              <w:t>5</w:t>
            </w:r>
          </w:p>
        </w:tc>
        <w:tc>
          <w:tcPr>
            <w:tcW w:w="1417" w:type="dxa"/>
            <w:vAlign w:val="center"/>
          </w:tcPr>
          <w:p w14:paraId="7E384041">
            <w:pPr>
              <w:spacing w:line="340" w:lineRule="exact"/>
              <w:jc w:val="center"/>
              <w:rPr>
                <w:rFonts w:hint="default" w:ascii="宋体" w:hAnsi="宋体" w:eastAsia="宋体"/>
                <w:color w:val="000000"/>
                <w:szCs w:val="21"/>
                <w:lang w:val="en-US" w:eastAsia="zh-CN"/>
              </w:rPr>
            </w:pPr>
            <w:r>
              <w:rPr>
                <w:rFonts w:hint="eastAsia" w:ascii="宋体" w:hAnsi="宋体"/>
                <w:szCs w:val="21"/>
                <w:lang w:val="en-US" w:eastAsia="zh-CN"/>
              </w:rPr>
              <w:t>11.1</w:t>
            </w:r>
          </w:p>
        </w:tc>
      </w:tr>
      <w:tr w14:paraId="5F27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trPr>
        <w:tc>
          <w:tcPr>
            <w:tcW w:w="737" w:type="dxa"/>
          </w:tcPr>
          <w:p w14:paraId="0780EF8B">
            <w:pPr>
              <w:spacing w:line="340" w:lineRule="exact"/>
              <w:rPr>
                <w:rFonts w:ascii="宋体" w:hAnsi="宋体"/>
                <w:color w:val="000000"/>
                <w:szCs w:val="21"/>
              </w:rPr>
            </w:pPr>
            <w:r>
              <w:rPr>
                <w:rFonts w:hint="eastAsia" w:ascii="宋体" w:hAnsi="宋体"/>
                <w:color w:val="000000"/>
                <w:szCs w:val="21"/>
              </w:rPr>
              <w:t>21</w:t>
            </w:r>
          </w:p>
        </w:tc>
        <w:tc>
          <w:tcPr>
            <w:tcW w:w="4366" w:type="dxa"/>
            <w:vAlign w:val="center"/>
          </w:tcPr>
          <w:p w14:paraId="326B92FA">
            <w:pPr>
              <w:spacing w:line="340" w:lineRule="exact"/>
              <w:rPr>
                <w:rFonts w:ascii="宋体" w:hAnsi="宋体"/>
                <w:color w:val="000000"/>
                <w:szCs w:val="21"/>
              </w:rPr>
            </w:pPr>
            <w:r>
              <w:rPr>
                <w:rFonts w:hint="eastAsia" w:ascii="宋体" w:hAnsi="宋体"/>
                <w:color w:val="000000"/>
                <w:szCs w:val="21"/>
              </w:rPr>
              <w:t>柴油加油机与站房</w:t>
            </w:r>
          </w:p>
        </w:tc>
        <w:tc>
          <w:tcPr>
            <w:tcW w:w="1418" w:type="dxa"/>
            <w:vAlign w:val="center"/>
          </w:tcPr>
          <w:p w14:paraId="23224059">
            <w:pPr>
              <w:spacing w:line="340" w:lineRule="exact"/>
              <w:jc w:val="center"/>
              <w:rPr>
                <w:rFonts w:ascii="宋体" w:hAnsi="宋体"/>
                <w:color w:val="000000"/>
                <w:szCs w:val="21"/>
              </w:rPr>
            </w:pPr>
            <w:r>
              <w:rPr>
                <w:rFonts w:hint="eastAsia" w:ascii="宋体" w:hAnsi="宋体"/>
                <w:color w:val="000000"/>
                <w:szCs w:val="21"/>
              </w:rPr>
              <w:t>4</w:t>
            </w:r>
          </w:p>
        </w:tc>
        <w:tc>
          <w:tcPr>
            <w:tcW w:w="1417" w:type="dxa"/>
            <w:vAlign w:val="center"/>
          </w:tcPr>
          <w:p w14:paraId="5A34FB72">
            <w:pPr>
              <w:spacing w:line="34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11.1</w:t>
            </w:r>
          </w:p>
        </w:tc>
      </w:tr>
    </w:tbl>
    <w:p w14:paraId="0E45D6AC">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2.6主要技术、</w:t>
      </w:r>
      <w:r>
        <w:rPr>
          <w:rFonts w:ascii="楷体_GB2312" w:hAnsi="宋体" w:eastAsia="楷体_GB2312"/>
          <w:kern w:val="3"/>
        </w:rPr>
        <w:t>工艺</w:t>
      </w:r>
      <w:r>
        <w:rPr>
          <w:rFonts w:hint="eastAsia" w:ascii="楷体_GB2312" w:hAnsi="宋体" w:eastAsia="楷体_GB2312"/>
          <w:kern w:val="3"/>
        </w:rPr>
        <w:t>（方式）简述</w:t>
      </w:r>
      <w:bookmarkEnd w:id="98"/>
    </w:p>
    <w:p w14:paraId="652323F2">
      <w:pPr>
        <w:spacing w:line="500" w:lineRule="exact"/>
        <w:ind w:firstLine="523" w:firstLineChars="187"/>
        <w:rPr>
          <w:rFonts w:ascii="宋体" w:hAnsi="宋体"/>
          <w:sz w:val="28"/>
          <w:szCs w:val="28"/>
        </w:rPr>
      </w:pPr>
      <w:r>
        <w:rPr>
          <w:rFonts w:hint="eastAsia" w:ascii="宋体" w:hAnsi="宋体"/>
          <w:sz w:val="28"/>
          <w:szCs w:val="28"/>
        </w:rPr>
        <w:t>该加油站整个工艺系统是国内比较成熟、安全、环保的工艺。具体如下：</w:t>
      </w:r>
    </w:p>
    <w:p w14:paraId="2890261F">
      <w:pPr>
        <w:pStyle w:val="4"/>
        <w:spacing w:afterLines="100" w:line="500" w:lineRule="exact"/>
        <w:rPr>
          <w:rFonts w:ascii="黑体" w:hAnsi="宋体"/>
          <w:kern w:val="3"/>
          <w:sz w:val="28"/>
          <w:szCs w:val="28"/>
        </w:rPr>
      </w:pPr>
      <w:bookmarkStart w:id="114" w:name="_Toc71894876"/>
      <w:bookmarkStart w:id="115" w:name="_Toc13253"/>
      <w:bookmarkStart w:id="116" w:name="_Toc46241128"/>
      <w:r>
        <w:rPr>
          <w:rFonts w:hint="eastAsia" w:ascii="黑体" w:hAnsi="宋体"/>
          <w:kern w:val="3"/>
          <w:sz w:val="28"/>
          <w:szCs w:val="28"/>
        </w:rPr>
        <w:t>2.6.1加油工艺</w:t>
      </w:r>
      <w:bookmarkEnd w:id="114"/>
    </w:p>
    <w:p w14:paraId="3ABD598D">
      <w:pPr>
        <w:snapToGrid w:val="0"/>
        <w:spacing w:line="500" w:lineRule="exact"/>
        <w:ind w:firstLine="560" w:firstLineChars="200"/>
        <w:jc w:val="left"/>
        <w:rPr>
          <w:sz w:val="28"/>
          <w:szCs w:val="28"/>
        </w:rPr>
      </w:pPr>
      <w:r>
        <w:rPr>
          <w:rFonts w:hint="eastAsia"/>
          <w:sz w:val="28"/>
          <w:szCs w:val="28"/>
        </w:rPr>
        <w:t>该加油站为潜油泵加油工艺。设置汽油加油油气回收装置，为真空辅助式油气回收系统，在汽油加油机内增设油气回收泵，为分散式加油油气回收系统。</w:t>
      </w:r>
      <w:r>
        <w:rPr>
          <w:rFonts w:hint="eastAsia"/>
          <w:kern w:val="3"/>
          <w:sz w:val="28"/>
          <w:szCs w:val="28"/>
        </w:rPr>
        <w:t>在汽油加油时，油气回收泵使加油枪油气口形成负压，将油箱内的油气抽回到油罐内</w:t>
      </w:r>
      <w:r>
        <w:rPr>
          <w:rFonts w:hint="eastAsia"/>
          <w:sz w:val="28"/>
          <w:szCs w:val="28"/>
        </w:rPr>
        <w:t>。</w:t>
      </w:r>
    </w:p>
    <w:p w14:paraId="039B7F1B">
      <w:pPr>
        <w:snapToGrid w:val="0"/>
        <w:spacing w:line="500" w:lineRule="exact"/>
        <w:ind w:firstLine="560" w:firstLineChars="200"/>
        <w:jc w:val="left"/>
        <w:rPr>
          <w:kern w:val="3"/>
          <w:sz w:val="28"/>
          <w:szCs w:val="28"/>
        </w:rPr>
      </w:pPr>
      <w:r>
        <w:rPr>
          <w:rFonts w:hint="eastAsia"/>
          <w:kern w:val="3"/>
          <w:sz w:val="28"/>
          <w:szCs w:val="28"/>
        </w:rPr>
        <w:t>柴油</w:t>
      </w:r>
      <w:r>
        <w:rPr>
          <w:kern w:val="3"/>
          <w:sz w:val="28"/>
          <w:szCs w:val="28"/>
        </w:rPr>
        <w:t>加油工艺流程如图2-</w:t>
      </w:r>
      <w:r>
        <w:rPr>
          <w:rFonts w:hint="eastAsia"/>
          <w:kern w:val="3"/>
          <w:sz w:val="28"/>
          <w:szCs w:val="28"/>
        </w:rPr>
        <w:t>3</w:t>
      </w:r>
      <w:r>
        <w:rPr>
          <w:kern w:val="3"/>
          <w:sz w:val="28"/>
          <w:szCs w:val="28"/>
        </w:rPr>
        <w:t>所示</w:t>
      </w:r>
      <w:r>
        <w:rPr>
          <w:rFonts w:hint="eastAsia"/>
          <w:kern w:val="3"/>
          <w:sz w:val="28"/>
          <w:szCs w:val="28"/>
        </w:rPr>
        <w:t>，汽油加油工艺流程如图2-4所示。</w:t>
      </w:r>
    </w:p>
    <w:p w14:paraId="6A16699C">
      <w:pPr>
        <w:autoSpaceDE w:val="0"/>
        <w:autoSpaceDN w:val="0"/>
        <w:adjustRightInd w:val="0"/>
        <w:jc w:val="center"/>
        <w:rPr>
          <w:kern w:val="3"/>
          <w:sz w:val="28"/>
          <w:szCs w:val="28"/>
        </w:rPr>
      </w:pPr>
      <w:r>
        <w:drawing>
          <wp:inline distT="0" distB="0" distL="0" distR="0">
            <wp:extent cx="5286375" cy="657225"/>
            <wp:effectExtent l="19050" t="0" r="9525" b="0"/>
            <wp:docPr id="16"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61"/>
                    <pic:cNvPicPr>
                      <a:picLocks noChangeAspect="1" noChangeArrowheads="1"/>
                    </pic:cNvPicPr>
                  </pic:nvPicPr>
                  <pic:blipFill>
                    <a:blip r:embed="rId26"/>
                    <a:srcRect/>
                    <a:stretch>
                      <a:fillRect/>
                    </a:stretch>
                  </pic:blipFill>
                  <pic:spPr>
                    <a:xfrm>
                      <a:off x="0" y="0"/>
                      <a:ext cx="5286375" cy="657225"/>
                    </a:xfrm>
                    <a:prstGeom prst="rect">
                      <a:avLst/>
                    </a:prstGeom>
                    <a:noFill/>
                    <a:ln w="9525">
                      <a:noFill/>
                      <a:miter lim="800000"/>
                      <a:headEnd/>
                      <a:tailEnd/>
                    </a:ln>
                  </pic:spPr>
                </pic:pic>
              </a:graphicData>
            </a:graphic>
          </wp:inline>
        </w:drawing>
      </w:r>
    </w:p>
    <w:p w14:paraId="00A716EF">
      <w:pPr>
        <w:autoSpaceDE w:val="0"/>
        <w:autoSpaceDN w:val="0"/>
        <w:adjustRightInd w:val="0"/>
        <w:spacing w:beforeLines="50"/>
        <w:jc w:val="center"/>
        <w:rPr>
          <w:b/>
          <w:bCs/>
          <w:snapToGrid w:val="0"/>
          <w:szCs w:val="21"/>
        </w:rPr>
      </w:pPr>
      <w:r>
        <w:rPr>
          <w:b/>
          <w:bCs/>
          <w:snapToGrid w:val="0"/>
          <w:szCs w:val="21"/>
        </w:rPr>
        <w:t>图2-</w:t>
      </w:r>
      <w:r>
        <w:rPr>
          <w:rFonts w:hint="eastAsia"/>
          <w:b/>
          <w:bCs/>
          <w:snapToGrid w:val="0"/>
          <w:szCs w:val="21"/>
        </w:rPr>
        <w:t>3柴油</w:t>
      </w:r>
      <w:r>
        <w:rPr>
          <w:b/>
          <w:bCs/>
          <w:snapToGrid w:val="0"/>
          <w:szCs w:val="21"/>
        </w:rPr>
        <w:t>加油工艺流程图</w:t>
      </w:r>
    </w:p>
    <w:p w14:paraId="2ED927C3">
      <w:pPr>
        <w:autoSpaceDE w:val="0"/>
        <w:autoSpaceDN w:val="0"/>
        <w:adjustRightInd w:val="0"/>
        <w:spacing w:beforeLines="50"/>
        <w:jc w:val="center"/>
        <w:rPr>
          <w:rFonts w:ascii="宋体" w:hAnsi="宋体" w:cs="宋体"/>
          <w:b/>
          <w:bCs/>
          <w:snapToGrid w:val="0"/>
          <w:szCs w:val="21"/>
        </w:rPr>
      </w:pPr>
      <w:r>
        <w:rPr>
          <w:rFonts w:hint="eastAsia" w:ascii="宋体" w:hAnsi="宋体" w:cs="宋体"/>
        </w:rPr>
        <w:drawing>
          <wp:inline distT="0" distB="0" distL="0" distR="0">
            <wp:extent cx="5343525" cy="838200"/>
            <wp:effectExtent l="19050" t="0" r="9525" b="0"/>
            <wp:docPr id="17"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5"/>
                    <pic:cNvPicPr>
                      <a:picLocks noChangeAspect="1" noChangeArrowheads="1"/>
                    </pic:cNvPicPr>
                  </pic:nvPicPr>
                  <pic:blipFill>
                    <a:blip r:embed="rId27"/>
                    <a:srcRect/>
                    <a:stretch>
                      <a:fillRect/>
                    </a:stretch>
                  </pic:blipFill>
                  <pic:spPr>
                    <a:xfrm>
                      <a:off x="0" y="0"/>
                      <a:ext cx="5343525" cy="838200"/>
                    </a:xfrm>
                    <a:prstGeom prst="rect">
                      <a:avLst/>
                    </a:prstGeom>
                    <a:noFill/>
                    <a:ln w="9525">
                      <a:noFill/>
                      <a:miter lim="800000"/>
                      <a:headEnd/>
                      <a:tailEnd/>
                    </a:ln>
                  </pic:spPr>
                </pic:pic>
              </a:graphicData>
            </a:graphic>
          </wp:inline>
        </w:drawing>
      </w:r>
    </w:p>
    <w:p w14:paraId="681AE679">
      <w:pPr>
        <w:pStyle w:val="61"/>
        <w:tabs>
          <w:tab w:val="left" w:pos="3670"/>
          <w:tab w:val="center" w:pos="4592"/>
        </w:tabs>
        <w:spacing w:line="240" w:lineRule="auto"/>
        <w:rPr>
          <w:b/>
          <w:bCs/>
          <w:snapToGrid w:val="0"/>
          <w:szCs w:val="21"/>
        </w:rPr>
      </w:pPr>
      <w:r>
        <w:rPr>
          <w:rFonts w:hint="eastAsia" w:hAnsi="宋体" w:cs="宋体"/>
          <w:b/>
          <w:bCs/>
          <w:szCs w:val="21"/>
        </w:rPr>
        <w:t>图2-4 汽油加油工艺流程框图</w:t>
      </w:r>
    </w:p>
    <w:p w14:paraId="435C7168">
      <w:pPr>
        <w:pStyle w:val="4"/>
        <w:spacing w:afterLines="100" w:line="500" w:lineRule="exact"/>
        <w:rPr>
          <w:rFonts w:ascii="黑体" w:hAnsi="宋体"/>
          <w:kern w:val="3"/>
          <w:sz w:val="28"/>
          <w:szCs w:val="28"/>
        </w:rPr>
      </w:pPr>
      <w:bookmarkStart w:id="117" w:name="_Toc71894877"/>
      <w:r>
        <w:rPr>
          <w:rFonts w:hint="eastAsia" w:ascii="黑体" w:hAnsi="宋体"/>
          <w:kern w:val="3"/>
          <w:sz w:val="28"/>
          <w:szCs w:val="28"/>
        </w:rPr>
        <w:t>2.</w:t>
      </w:r>
      <w:r>
        <w:rPr>
          <w:rFonts w:ascii="黑体" w:hAnsi="宋体"/>
          <w:kern w:val="3"/>
          <w:sz w:val="28"/>
          <w:szCs w:val="28"/>
        </w:rPr>
        <w:t>6</w:t>
      </w:r>
      <w:r>
        <w:rPr>
          <w:rFonts w:hint="eastAsia" w:ascii="黑体" w:hAnsi="宋体"/>
          <w:kern w:val="3"/>
          <w:sz w:val="28"/>
          <w:szCs w:val="28"/>
        </w:rPr>
        <w:t>.2卸油工艺</w:t>
      </w:r>
      <w:bookmarkEnd w:id="115"/>
      <w:bookmarkEnd w:id="116"/>
      <w:bookmarkEnd w:id="117"/>
    </w:p>
    <w:p w14:paraId="4B85D312">
      <w:pPr>
        <w:snapToGrid w:val="0"/>
        <w:spacing w:line="500" w:lineRule="exact"/>
        <w:ind w:firstLine="560" w:firstLineChars="200"/>
        <w:jc w:val="left"/>
        <w:rPr>
          <w:kern w:val="3"/>
          <w:sz w:val="28"/>
          <w:szCs w:val="28"/>
        </w:rPr>
      </w:pPr>
      <w:r>
        <w:rPr>
          <w:rFonts w:hint="eastAsia"/>
          <w:sz w:val="28"/>
          <w:szCs w:val="28"/>
        </w:rPr>
        <w:t>该加油站采用密闭卸油工艺卸油，设置了卸油井，卸油井内的卸油管管道上安装了阀门和快速接头。设置汽油卸油油气回收管道装置，采用平衡式密闭油气回收系统装置，在油罐车向地下油罐卸油的同时，地下油罐排出的油气直接通过卸油油气回收管道收回到油罐车内。</w:t>
      </w:r>
    </w:p>
    <w:p w14:paraId="01D077A8">
      <w:pPr>
        <w:autoSpaceDE w:val="0"/>
        <w:autoSpaceDN w:val="0"/>
        <w:adjustRightInd w:val="0"/>
        <w:spacing w:line="500" w:lineRule="exact"/>
        <w:ind w:firstLine="560" w:firstLineChars="200"/>
        <w:rPr>
          <w:kern w:val="3"/>
          <w:sz w:val="28"/>
          <w:szCs w:val="28"/>
        </w:rPr>
      </w:pPr>
      <w:r>
        <w:rPr>
          <w:rFonts w:hint="eastAsia"/>
          <w:kern w:val="3"/>
          <w:sz w:val="28"/>
          <w:szCs w:val="28"/>
        </w:rPr>
        <w:t>柴油</w:t>
      </w:r>
      <w:r>
        <w:rPr>
          <w:kern w:val="3"/>
          <w:sz w:val="28"/>
          <w:szCs w:val="28"/>
        </w:rPr>
        <w:t>卸油工艺流程如</w:t>
      </w:r>
      <w:r>
        <w:rPr>
          <w:rFonts w:hint="eastAsia"/>
          <w:kern w:val="3"/>
          <w:sz w:val="28"/>
          <w:szCs w:val="28"/>
        </w:rPr>
        <w:t>图2-5所示，汽油卸油工艺流程如图2-6所示。</w:t>
      </w:r>
    </w:p>
    <w:p w14:paraId="5F44B4DF">
      <w:pPr>
        <w:autoSpaceDE w:val="0"/>
        <w:autoSpaceDN w:val="0"/>
        <w:adjustRightInd w:val="0"/>
        <w:jc w:val="center"/>
        <w:rPr>
          <w:kern w:val="3"/>
          <w:sz w:val="28"/>
          <w:szCs w:val="28"/>
        </w:rPr>
      </w:pPr>
      <w:r>
        <w:drawing>
          <wp:inline distT="0" distB="0" distL="0" distR="0">
            <wp:extent cx="5143500" cy="552450"/>
            <wp:effectExtent l="19050" t="0" r="0" b="0"/>
            <wp:docPr id="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
                    <pic:cNvPicPr>
                      <a:picLocks noChangeAspect="1" noChangeArrowheads="1"/>
                    </pic:cNvPicPr>
                  </pic:nvPicPr>
                  <pic:blipFill>
                    <a:blip r:embed="rId28"/>
                    <a:srcRect/>
                    <a:stretch>
                      <a:fillRect/>
                    </a:stretch>
                  </pic:blipFill>
                  <pic:spPr>
                    <a:xfrm>
                      <a:off x="0" y="0"/>
                      <a:ext cx="5143500" cy="552450"/>
                    </a:xfrm>
                    <a:prstGeom prst="rect">
                      <a:avLst/>
                    </a:prstGeom>
                    <a:noFill/>
                    <a:ln w="9525">
                      <a:noFill/>
                      <a:miter lim="800000"/>
                      <a:headEnd/>
                      <a:tailEnd/>
                    </a:ln>
                  </pic:spPr>
                </pic:pic>
              </a:graphicData>
            </a:graphic>
          </wp:inline>
        </w:drawing>
      </w:r>
    </w:p>
    <w:p w14:paraId="2A8842B1">
      <w:pPr>
        <w:autoSpaceDE w:val="0"/>
        <w:autoSpaceDN w:val="0"/>
        <w:adjustRightInd w:val="0"/>
        <w:jc w:val="center"/>
        <w:rPr>
          <w:b/>
          <w:bCs/>
        </w:rPr>
      </w:pPr>
      <w:r>
        <w:rPr>
          <w:rFonts w:hint="eastAsia"/>
          <w:b/>
          <w:bCs/>
        </w:rPr>
        <w:t>图2-5柴油卸油工艺流程框图</w:t>
      </w:r>
    </w:p>
    <w:p w14:paraId="2A10F377">
      <w:pPr>
        <w:autoSpaceDE w:val="0"/>
        <w:autoSpaceDN w:val="0"/>
        <w:adjustRightInd w:val="0"/>
        <w:jc w:val="center"/>
        <w:rPr>
          <w:b/>
          <w:bCs/>
        </w:rPr>
      </w:pPr>
    </w:p>
    <w:p w14:paraId="75C68431">
      <w:pPr>
        <w:autoSpaceDE w:val="0"/>
        <w:autoSpaceDN w:val="0"/>
        <w:adjustRightInd w:val="0"/>
        <w:jc w:val="center"/>
        <w:rPr>
          <w:b/>
          <w:bCs/>
        </w:rPr>
      </w:pPr>
      <w:r>
        <w:drawing>
          <wp:inline distT="0" distB="0" distL="0" distR="0">
            <wp:extent cx="5162550" cy="962025"/>
            <wp:effectExtent l="19050" t="0" r="0" b="0"/>
            <wp:docPr id="19"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1"/>
                    <pic:cNvPicPr>
                      <a:picLocks noChangeAspect="1" noChangeArrowheads="1"/>
                    </pic:cNvPicPr>
                  </pic:nvPicPr>
                  <pic:blipFill>
                    <a:blip r:embed="rId29"/>
                    <a:srcRect/>
                    <a:stretch>
                      <a:fillRect/>
                    </a:stretch>
                  </pic:blipFill>
                  <pic:spPr>
                    <a:xfrm>
                      <a:off x="0" y="0"/>
                      <a:ext cx="5162550" cy="962025"/>
                    </a:xfrm>
                    <a:prstGeom prst="rect">
                      <a:avLst/>
                    </a:prstGeom>
                    <a:noFill/>
                    <a:ln w="9525">
                      <a:noFill/>
                      <a:miter lim="800000"/>
                      <a:headEnd/>
                      <a:tailEnd/>
                    </a:ln>
                    <a:effectLst/>
                  </pic:spPr>
                </pic:pic>
              </a:graphicData>
            </a:graphic>
          </wp:inline>
        </w:drawing>
      </w:r>
    </w:p>
    <w:p w14:paraId="774FA09B">
      <w:pPr>
        <w:autoSpaceDE w:val="0"/>
        <w:autoSpaceDN w:val="0"/>
        <w:adjustRightInd w:val="0"/>
        <w:jc w:val="center"/>
        <w:rPr>
          <w:b/>
          <w:bCs/>
        </w:rPr>
      </w:pPr>
      <w:r>
        <w:rPr>
          <w:rFonts w:hint="eastAsia" w:ascii="宋体" w:hAnsi="宋体" w:cs="宋体"/>
          <w:b/>
          <w:bCs/>
          <w:snapToGrid w:val="0"/>
          <w:szCs w:val="21"/>
        </w:rPr>
        <w:t>图2-6汽油卸油工艺流程框图</w:t>
      </w:r>
    </w:p>
    <w:p w14:paraId="5D2AFECB">
      <w:pPr>
        <w:pStyle w:val="4"/>
        <w:spacing w:afterLines="100" w:line="500" w:lineRule="exact"/>
        <w:jc w:val="center"/>
        <w:rPr>
          <w:rFonts w:ascii="楷体_GB2312" w:hAnsi="宋体" w:eastAsia="楷体_GB2312"/>
          <w:kern w:val="3"/>
        </w:rPr>
      </w:pPr>
      <w:bookmarkStart w:id="118" w:name="_Toc71894878"/>
      <w:r>
        <w:rPr>
          <w:rFonts w:hint="eastAsia" w:ascii="楷体_GB2312" w:hAnsi="宋体" w:eastAsia="楷体_GB2312"/>
          <w:kern w:val="3"/>
        </w:rPr>
        <w:t>2.7配套和</w:t>
      </w:r>
      <w:r>
        <w:rPr>
          <w:rFonts w:ascii="楷体_GB2312" w:hAnsi="宋体" w:eastAsia="楷体_GB2312"/>
          <w:kern w:val="3"/>
        </w:rPr>
        <w:t>辅助工程</w:t>
      </w:r>
      <w:bookmarkEnd w:id="118"/>
    </w:p>
    <w:p w14:paraId="5ECD4A64">
      <w:pPr>
        <w:pStyle w:val="4"/>
        <w:spacing w:afterLines="100" w:line="500" w:lineRule="exact"/>
        <w:rPr>
          <w:rFonts w:ascii="黑体" w:hAnsi="宋体"/>
          <w:kern w:val="3"/>
          <w:sz w:val="28"/>
          <w:szCs w:val="28"/>
        </w:rPr>
      </w:pPr>
      <w:bookmarkStart w:id="119" w:name="_Toc71894879"/>
      <w:r>
        <w:rPr>
          <w:rFonts w:hint="eastAsia" w:ascii="黑体" w:hAnsi="宋体"/>
          <w:kern w:val="3"/>
          <w:sz w:val="28"/>
          <w:szCs w:val="28"/>
        </w:rPr>
        <w:t>2.7.1供配电系统</w:t>
      </w:r>
      <w:bookmarkEnd w:id="119"/>
    </w:p>
    <w:p w14:paraId="185B333B">
      <w:pPr>
        <w:spacing w:line="500" w:lineRule="exact"/>
        <w:ind w:firstLine="618" w:firstLineChars="221"/>
        <w:rPr>
          <w:rFonts w:ascii="宋体" w:hAnsi="宋体"/>
          <w:sz w:val="28"/>
          <w:szCs w:val="28"/>
        </w:rPr>
      </w:pPr>
      <w:r>
        <w:rPr>
          <w:rFonts w:hint="eastAsia" w:ascii="宋体" w:hAnsi="宋体"/>
          <w:sz w:val="28"/>
        </w:rPr>
        <w:t>本项目供电电源</w:t>
      </w:r>
      <w:r>
        <w:rPr>
          <w:rFonts w:hint="eastAsia" w:ascii="宋体" w:hAnsi="宋体"/>
          <w:sz w:val="28"/>
          <w:szCs w:val="28"/>
        </w:rPr>
        <w:t>来自电网进入加油站配电箱，再送各用电设备，到加油机</w:t>
      </w:r>
      <w:r>
        <w:rPr>
          <w:rFonts w:ascii="宋体" w:hAnsi="宋体" w:cs="宋体"/>
          <w:kern w:val="0"/>
          <w:sz w:val="28"/>
          <w:szCs w:val="28"/>
        </w:rPr>
        <w:t>电缆穿管埋</w:t>
      </w:r>
      <w:r>
        <w:rPr>
          <w:rFonts w:hint="eastAsia" w:ascii="宋体" w:hAnsi="宋体" w:cs="宋体"/>
          <w:kern w:val="0"/>
          <w:sz w:val="28"/>
          <w:szCs w:val="28"/>
        </w:rPr>
        <w:t>地</w:t>
      </w:r>
      <w:r>
        <w:rPr>
          <w:rFonts w:ascii="宋体" w:hAnsi="宋体" w:cs="宋体"/>
          <w:kern w:val="0"/>
          <w:sz w:val="28"/>
          <w:szCs w:val="28"/>
        </w:rPr>
        <w:t>敷设</w:t>
      </w:r>
      <w:r>
        <w:rPr>
          <w:rFonts w:hint="eastAsia" w:ascii="宋体" w:hAnsi="宋体" w:cs="宋体"/>
          <w:kern w:val="0"/>
          <w:sz w:val="28"/>
          <w:szCs w:val="28"/>
        </w:rPr>
        <w:t>，</w:t>
      </w:r>
      <w:r>
        <w:rPr>
          <w:rFonts w:hint="eastAsia" w:ascii="宋体" w:hAnsi="宋体"/>
          <w:sz w:val="28"/>
          <w:szCs w:val="28"/>
        </w:rPr>
        <w:t>站房内及罩棚下的照明灯具选用防爆型。加油站配电室位于</w:t>
      </w:r>
      <w:r>
        <w:rPr>
          <w:rFonts w:hint="eastAsia" w:ascii="宋体" w:hAnsi="宋体"/>
          <w:sz w:val="28"/>
          <w:szCs w:val="28"/>
          <w:lang w:val="en-US" w:eastAsia="zh-CN"/>
        </w:rPr>
        <w:t>站</w:t>
      </w:r>
      <w:r>
        <w:rPr>
          <w:rFonts w:hint="eastAsia" w:ascii="宋体" w:hAnsi="宋体"/>
          <w:sz w:val="28"/>
          <w:szCs w:val="28"/>
        </w:rPr>
        <w:t>房内。</w:t>
      </w:r>
    </w:p>
    <w:p w14:paraId="42D50EBE">
      <w:pPr>
        <w:pStyle w:val="4"/>
        <w:spacing w:afterLines="100" w:line="500" w:lineRule="exact"/>
        <w:rPr>
          <w:rFonts w:ascii="黑体" w:hAnsi="宋体"/>
          <w:kern w:val="3"/>
          <w:sz w:val="28"/>
          <w:szCs w:val="28"/>
        </w:rPr>
      </w:pPr>
      <w:bookmarkStart w:id="120" w:name="_Toc71894880"/>
      <w:r>
        <w:rPr>
          <w:rFonts w:hint="eastAsia" w:ascii="黑体" w:hAnsi="宋体"/>
          <w:kern w:val="3"/>
          <w:sz w:val="28"/>
          <w:szCs w:val="28"/>
        </w:rPr>
        <w:t>2.7.2给排水系统</w:t>
      </w:r>
      <w:bookmarkEnd w:id="120"/>
    </w:p>
    <w:p w14:paraId="1DD21322">
      <w:pPr>
        <w:rPr>
          <w:rFonts w:ascii="宋体" w:hAnsi="宋体"/>
          <w:b/>
          <w:sz w:val="28"/>
          <w:szCs w:val="28"/>
        </w:rPr>
      </w:pPr>
      <w:r>
        <w:rPr>
          <w:rFonts w:hint="eastAsia" w:ascii="宋体" w:hAnsi="宋体"/>
          <w:b/>
          <w:sz w:val="28"/>
          <w:szCs w:val="28"/>
        </w:rPr>
        <w:t>1.给水</w:t>
      </w:r>
    </w:p>
    <w:p w14:paraId="425B27CB">
      <w:pPr>
        <w:spacing w:line="500" w:lineRule="exact"/>
        <w:ind w:firstLine="618" w:firstLineChars="221"/>
        <w:rPr>
          <w:rFonts w:ascii="宋体" w:hAnsi="宋体" w:cs="宋体"/>
          <w:kern w:val="0"/>
          <w:sz w:val="28"/>
          <w:szCs w:val="28"/>
        </w:rPr>
      </w:pPr>
      <w:bookmarkStart w:id="121" w:name="_Toc420403852"/>
      <w:r>
        <w:rPr>
          <w:rFonts w:hint="eastAsia" w:ascii="宋体" w:hAnsi="宋体" w:cs="宋体"/>
          <w:kern w:val="0"/>
          <w:sz w:val="28"/>
          <w:szCs w:val="28"/>
        </w:rPr>
        <w:t>站内用水采用金属管接自来水网至各用水点，加油站每天冲洗地坪、站区绿化、员工生活等用水预计最大为5m</w:t>
      </w:r>
      <w:r>
        <w:rPr>
          <w:rFonts w:hint="eastAsia" w:ascii="宋体" w:hAnsi="宋体" w:cs="宋体"/>
          <w:kern w:val="0"/>
          <w:sz w:val="28"/>
          <w:szCs w:val="28"/>
          <w:vertAlign w:val="superscript"/>
        </w:rPr>
        <w:t>3</w:t>
      </w:r>
      <w:r>
        <w:rPr>
          <w:rFonts w:hint="eastAsia" w:ascii="宋体" w:hAnsi="宋体" w:cs="宋体"/>
          <w:kern w:val="0"/>
          <w:sz w:val="28"/>
          <w:szCs w:val="28"/>
        </w:rPr>
        <w:t>/天，供水能够满足需要。</w:t>
      </w:r>
    </w:p>
    <w:p w14:paraId="639AF731">
      <w:pPr>
        <w:rPr>
          <w:rFonts w:ascii="宋体" w:hAnsi="宋体"/>
          <w:b/>
          <w:sz w:val="28"/>
          <w:szCs w:val="28"/>
        </w:rPr>
      </w:pPr>
      <w:bookmarkStart w:id="122" w:name="_Toc424306234"/>
      <w:bookmarkStart w:id="123" w:name="_Toc438040887"/>
      <w:bookmarkStart w:id="124" w:name="_Toc433992335"/>
      <w:bookmarkStart w:id="125" w:name="_Toc424305983"/>
      <w:r>
        <w:rPr>
          <w:rFonts w:hint="eastAsia" w:ascii="宋体" w:hAnsi="宋体"/>
          <w:b/>
          <w:sz w:val="28"/>
          <w:szCs w:val="28"/>
        </w:rPr>
        <w:t>2.排水</w:t>
      </w:r>
      <w:bookmarkEnd w:id="121"/>
      <w:bookmarkEnd w:id="122"/>
      <w:bookmarkEnd w:id="123"/>
      <w:bookmarkEnd w:id="124"/>
      <w:bookmarkEnd w:id="125"/>
    </w:p>
    <w:p w14:paraId="333113C6">
      <w:pPr>
        <w:spacing w:line="500" w:lineRule="exact"/>
        <w:ind w:firstLine="560" w:firstLineChars="200"/>
        <w:rPr>
          <w:rFonts w:ascii="宋体" w:hAnsi="宋体"/>
          <w:b/>
          <w:sz w:val="28"/>
          <w:szCs w:val="28"/>
        </w:rPr>
      </w:pPr>
      <w:r>
        <w:rPr>
          <w:rFonts w:hint="eastAsia" w:ascii="宋体" w:hAnsi="宋体"/>
          <w:sz w:val="28"/>
          <w:szCs w:val="28"/>
        </w:rPr>
        <w:t>站内仅有大气降水和少量生活污水以及大气降水</w:t>
      </w:r>
      <w:r>
        <w:rPr>
          <w:rFonts w:ascii="宋体" w:hAnsi="宋体"/>
          <w:sz w:val="28"/>
          <w:szCs w:val="28"/>
        </w:rPr>
        <w:t>沿站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hint="eastAsia" w:ascii="宋体" w:hAnsi="宋体"/>
          <w:sz w:val="28"/>
          <w:szCs w:val="28"/>
          <w:lang w:val="en-US" w:eastAsia="zh-CN"/>
        </w:rPr>
        <w:t>流</w:t>
      </w:r>
      <w:r>
        <w:rPr>
          <w:rFonts w:hint="eastAsia" w:ascii="宋体" w:hAnsi="宋体"/>
          <w:sz w:val="28"/>
          <w:szCs w:val="28"/>
        </w:rPr>
        <w:t>向</w:t>
      </w:r>
      <w:r>
        <w:rPr>
          <w:rFonts w:hint="eastAsia" w:ascii="宋体" w:hAnsi="宋体"/>
          <w:sz w:val="28"/>
          <w:szCs w:val="28"/>
          <w:lang w:val="en-US" w:eastAsia="zh-CN"/>
        </w:rPr>
        <w:t>市政排污管网内，</w:t>
      </w:r>
      <w:r>
        <w:rPr>
          <w:rFonts w:hint="eastAsia" w:ascii="宋体" w:hAnsi="宋体"/>
          <w:sz w:val="28"/>
          <w:szCs w:val="28"/>
        </w:rPr>
        <w:t>冲洗地坪的废水</w:t>
      </w:r>
      <w:r>
        <w:rPr>
          <w:rFonts w:hint="eastAsia" w:ascii="宋体" w:hAnsi="宋体"/>
          <w:sz w:val="28"/>
          <w:szCs w:val="28"/>
          <w:lang w:val="en-US" w:eastAsia="zh-CN"/>
        </w:rPr>
        <w:t>沿环保沟收集至站内三级</w:t>
      </w:r>
      <w:r>
        <w:rPr>
          <w:rFonts w:hint="eastAsia" w:ascii="宋体" w:hAnsi="宋体"/>
          <w:sz w:val="28"/>
          <w:szCs w:val="28"/>
        </w:rPr>
        <w:t>油水分离池。</w:t>
      </w:r>
    </w:p>
    <w:p w14:paraId="3C7FFEE5">
      <w:pPr>
        <w:pStyle w:val="4"/>
        <w:spacing w:afterLines="100" w:line="500" w:lineRule="exact"/>
        <w:rPr>
          <w:rFonts w:ascii="黑体" w:hAnsi="宋体"/>
          <w:kern w:val="3"/>
          <w:sz w:val="28"/>
          <w:szCs w:val="28"/>
        </w:rPr>
      </w:pPr>
      <w:bookmarkStart w:id="126" w:name="_Toc71894881"/>
      <w:r>
        <w:rPr>
          <w:rFonts w:hint="eastAsia" w:ascii="黑体" w:hAnsi="宋体"/>
          <w:kern w:val="3"/>
          <w:sz w:val="28"/>
          <w:szCs w:val="28"/>
        </w:rPr>
        <w:t>2.7.3防雷防静电</w:t>
      </w:r>
      <w:bookmarkEnd w:id="126"/>
    </w:p>
    <w:p w14:paraId="5C2DB76D">
      <w:pPr>
        <w:spacing w:line="500" w:lineRule="exact"/>
        <w:ind w:firstLine="570"/>
        <w:rPr>
          <w:rFonts w:ascii="宋体" w:hAnsi="宋体"/>
          <w:sz w:val="28"/>
          <w:szCs w:val="28"/>
        </w:rPr>
      </w:pPr>
      <w:r>
        <w:rPr>
          <w:rFonts w:hint="eastAsia" w:ascii="宋体" w:hAnsi="宋体"/>
          <w:sz w:val="28"/>
          <w:szCs w:val="28"/>
        </w:rPr>
        <w:t>加油站的防雷防静电按</w:t>
      </w:r>
      <w:r>
        <w:rPr>
          <w:rFonts w:ascii="宋体" w:hAnsi="宋体"/>
          <w:sz w:val="28"/>
          <w:szCs w:val="28"/>
        </w:rPr>
        <w:t>《建筑物防雷设计规范》</w:t>
      </w:r>
      <w:r>
        <w:rPr>
          <w:rFonts w:hint="eastAsia" w:ascii="宋体" w:hAnsi="宋体"/>
          <w:sz w:val="28"/>
          <w:szCs w:val="28"/>
        </w:rPr>
        <w:t>，在站房和加油棚顶敷设避雷网。</w:t>
      </w:r>
    </w:p>
    <w:p w14:paraId="6AAF1388">
      <w:pPr>
        <w:spacing w:line="500" w:lineRule="exact"/>
        <w:ind w:firstLine="570"/>
        <w:rPr>
          <w:rFonts w:ascii="宋体" w:hAnsi="宋体"/>
          <w:sz w:val="28"/>
          <w:szCs w:val="28"/>
        </w:rPr>
      </w:pPr>
      <w:r>
        <w:rPr>
          <w:rFonts w:hint="eastAsia" w:ascii="宋体" w:hAnsi="宋体"/>
          <w:sz w:val="28"/>
          <w:szCs w:val="28"/>
        </w:rPr>
        <w:t>电源引入各配电箱时PE线均应作重复接地，所有电气设备金属外壳，穿线金属钢管等均需与PE线可靠连接重复接地装置与防静电接地装置等共用，接地电阻小于4欧姆。</w:t>
      </w:r>
    </w:p>
    <w:p w14:paraId="4A856B4C">
      <w:pPr>
        <w:spacing w:line="500" w:lineRule="exact"/>
        <w:ind w:firstLine="570"/>
        <w:rPr>
          <w:rFonts w:ascii="宋体" w:hAnsi="宋体"/>
          <w:sz w:val="28"/>
          <w:szCs w:val="28"/>
        </w:rPr>
      </w:pPr>
      <w:r>
        <w:rPr>
          <w:rFonts w:hint="eastAsia" w:ascii="宋体" w:hAnsi="宋体"/>
          <w:sz w:val="28"/>
          <w:szCs w:val="28"/>
        </w:rPr>
        <w:t>屋面避雷带通过构造柱内的钢筋与做为接地极的基础钢筋焊接；凡伸出屋面的金属构件均与接地网焊接；避雷网内的各连接点均采用焊接，使整个防雷网形成良好的电气回路。</w:t>
      </w:r>
    </w:p>
    <w:p w14:paraId="2D42CFF3">
      <w:pPr>
        <w:spacing w:line="500" w:lineRule="exact"/>
        <w:ind w:firstLine="570"/>
        <w:rPr>
          <w:rFonts w:ascii="宋体" w:hAnsi="宋体"/>
          <w:color w:val="FF0000"/>
          <w:sz w:val="28"/>
          <w:szCs w:val="28"/>
        </w:rPr>
      </w:pPr>
      <w:r>
        <w:rPr>
          <w:rFonts w:hint="eastAsia" w:ascii="宋体" w:hAnsi="宋体"/>
          <w:sz w:val="28"/>
          <w:szCs w:val="28"/>
        </w:rPr>
        <w:t>站内所有电器设备、金属管道支架、电缆保护套管以及金属部分等均有可靠</w:t>
      </w:r>
      <w:r>
        <w:rPr>
          <w:rFonts w:hint="eastAsia" w:ascii="宋体" w:hAnsi="宋体"/>
          <w:color w:val="auto"/>
          <w:sz w:val="28"/>
          <w:szCs w:val="28"/>
        </w:rPr>
        <w:t>接地。输油管道的法兰两端用金属铜片进行跨接。卸油台设置静电接地栓、静电夹。加油站的防雷防静电设施于202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6</w:t>
      </w:r>
      <w:r>
        <w:rPr>
          <w:rFonts w:hint="eastAsia" w:ascii="宋体" w:hAnsi="宋体"/>
          <w:color w:val="auto"/>
          <w:sz w:val="28"/>
          <w:szCs w:val="28"/>
        </w:rPr>
        <w:t>月</w:t>
      </w:r>
      <w:r>
        <w:rPr>
          <w:rFonts w:hint="eastAsia" w:ascii="宋体" w:hAnsi="宋体"/>
          <w:color w:val="auto"/>
          <w:sz w:val="28"/>
          <w:szCs w:val="28"/>
          <w:lang w:val="en-US" w:eastAsia="zh-CN"/>
        </w:rPr>
        <w:t>16</w:t>
      </w:r>
      <w:r>
        <w:rPr>
          <w:rFonts w:hint="eastAsia" w:ascii="宋体" w:hAnsi="宋体"/>
          <w:color w:val="auto"/>
          <w:sz w:val="28"/>
          <w:szCs w:val="28"/>
        </w:rPr>
        <w:t>日经过</w:t>
      </w:r>
      <w:r>
        <w:rPr>
          <w:rFonts w:hint="eastAsia" w:ascii="宋体" w:hAnsi="宋体"/>
          <w:color w:val="auto"/>
          <w:sz w:val="28"/>
          <w:szCs w:val="28"/>
          <w:lang w:val="en-US" w:eastAsia="zh-CN"/>
        </w:rPr>
        <w:t>云南省气象灾害防御技术中心检测</w:t>
      </w:r>
      <w:r>
        <w:rPr>
          <w:rFonts w:hint="eastAsia" w:ascii="宋体" w:hAnsi="宋体"/>
          <w:color w:val="auto"/>
          <w:sz w:val="28"/>
          <w:szCs w:val="28"/>
        </w:rPr>
        <w:t>，并出据防雷防静电检测报告，检测报告有效期至202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12</w:t>
      </w:r>
      <w:r>
        <w:rPr>
          <w:rFonts w:hint="eastAsia" w:ascii="宋体" w:hAnsi="宋体"/>
          <w:color w:val="auto"/>
          <w:sz w:val="28"/>
          <w:szCs w:val="28"/>
        </w:rPr>
        <w:t>月</w:t>
      </w:r>
      <w:r>
        <w:rPr>
          <w:rFonts w:hint="eastAsia" w:ascii="宋体" w:hAnsi="宋体"/>
          <w:color w:val="auto"/>
          <w:sz w:val="28"/>
          <w:szCs w:val="28"/>
          <w:lang w:val="en-US" w:eastAsia="zh-CN"/>
        </w:rPr>
        <w:t>16</w:t>
      </w:r>
      <w:r>
        <w:rPr>
          <w:rFonts w:hint="eastAsia" w:ascii="宋体" w:hAnsi="宋体"/>
          <w:color w:val="auto"/>
          <w:sz w:val="28"/>
          <w:szCs w:val="28"/>
        </w:rPr>
        <w:t>日。检测结论为：符合相关标准要求。</w:t>
      </w:r>
    </w:p>
    <w:p w14:paraId="6AF4C17E">
      <w:pPr>
        <w:pStyle w:val="4"/>
        <w:spacing w:afterLines="100" w:line="500" w:lineRule="exact"/>
        <w:jc w:val="center"/>
        <w:rPr>
          <w:rFonts w:ascii="楷体_GB2312" w:hAnsi="宋体" w:eastAsia="楷体_GB2312"/>
          <w:kern w:val="3"/>
        </w:rPr>
      </w:pPr>
      <w:bookmarkStart w:id="127" w:name="_Toc71894882"/>
      <w:r>
        <w:rPr>
          <w:rFonts w:hint="eastAsia" w:ascii="楷体_GB2312" w:hAnsi="宋体" w:eastAsia="楷体_GB2312"/>
          <w:kern w:val="3"/>
        </w:rPr>
        <w:t>2.8主要设备、设施</w:t>
      </w:r>
      <w:bookmarkEnd w:id="127"/>
    </w:p>
    <w:p w14:paraId="49A46315">
      <w:pPr>
        <w:jc w:val="center"/>
        <w:rPr>
          <w:rFonts w:ascii="宋体" w:hAnsi="宋体"/>
          <w:sz w:val="28"/>
          <w:szCs w:val="28"/>
        </w:rPr>
      </w:pPr>
      <w:r>
        <w:rPr>
          <w:rFonts w:hint="eastAsia" w:ascii="宋体" w:hAnsi="宋体"/>
          <w:sz w:val="28"/>
          <w:szCs w:val="28"/>
        </w:rPr>
        <w:t>表2-5加油站主要设备、设施表</w:t>
      </w:r>
    </w:p>
    <w:tbl>
      <w:tblPr>
        <w:tblStyle w:val="33"/>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148"/>
        <w:gridCol w:w="1079"/>
        <w:gridCol w:w="2520"/>
        <w:gridCol w:w="1260"/>
        <w:gridCol w:w="720"/>
      </w:tblGrid>
      <w:tr w14:paraId="2F3F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6" w:type="dxa"/>
            <w:vAlign w:val="center"/>
          </w:tcPr>
          <w:p w14:paraId="59F5EFE3">
            <w:pPr>
              <w:jc w:val="center"/>
              <w:rPr>
                <w:rFonts w:ascii="宋体" w:hAnsi="宋体"/>
                <w:szCs w:val="21"/>
              </w:rPr>
            </w:pPr>
            <w:r>
              <w:rPr>
                <w:rFonts w:hint="eastAsia" w:ascii="宋体" w:hAnsi="宋体"/>
                <w:szCs w:val="21"/>
              </w:rPr>
              <w:t>序号</w:t>
            </w:r>
          </w:p>
        </w:tc>
        <w:tc>
          <w:tcPr>
            <w:tcW w:w="2148" w:type="dxa"/>
            <w:vAlign w:val="center"/>
          </w:tcPr>
          <w:p w14:paraId="27828C80">
            <w:pPr>
              <w:jc w:val="center"/>
              <w:rPr>
                <w:rFonts w:ascii="宋体" w:hAnsi="宋体"/>
                <w:szCs w:val="21"/>
              </w:rPr>
            </w:pPr>
            <w:r>
              <w:rPr>
                <w:rFonts w:hint="eastAsia" w:ascii="宋体" w:hAnsi="宋体"/>
                <w:szCs w:val="21"/>
              </w:rPr>
              <w:t>名称</w:t>
            </w:r>
          </w:p>
        </w:tc>
        <w:tc>
          <w:tcPr>
            <w:tcW w:w="1079" w:type="dxa"/>
            <w:vAlign w:val="center"/>
          </w:tcPr>
          <w:p w14:paraId="76133051">
            <w:pPr>
              <w:jc w:val="center"/>
              <w:rPr>
                <w:rFonts w:ascii="宋体" w:hAnsi="宋体"/>
                <w:szCs w:val="21"/>
              </w:rPr>
            </w:pPr>
            <w:r>
              <w:rPr>
                <w:rFonts w:hint="eastAsia" w:ascii="宋体" w:hAnsi="宋体"/>
                <w:szCs w:val="21"/>
              </w:rPr>
              <w:t>规格型号</w:t>
            </w:r>
          </w:p>
        </w:tc>
        <w:tc>
          <w:tcPr>
            <w:tcW w:w="2520" w:type="dxa"/>
            <w:vAlign w:val="center"/>
          </w:tcPr>
          <w:p w14:paraId="198C4FF1">
            <w:pPr>
              <w:jc w:val="center"/>
              <w:rPr>
                <w:rFonts w:ascii="宋体" w:hAnsi="宋体"/>
                <w:szCs w:val="21"/>
              </w:rPr>
            </w:pPr>
            <w:r>
              <w:rPr>
                <w:rFonts w:hint="eastAsia" w:ascii="宋体" w:hAnsi="宋体"/>
                <w:szCs w:val="21"/>
              </w:rPr>
              <w:t>介质</w:t>
            </w:r>
          </w:p>
        </w:tc>
        <w:tc>
          <w:tcPr>
            <w:tcW w:w="1260" w:type="dxa"/>
            <w:vAlign w:val="center"/>
          </w:tcPr>
          <w:p w14:paraId="57D3E3D1">
            <w:pPr>
              <w:jc w:val="center"/>
              <w:rPr>
                <w:rFonts w:ascii="宋体" w:hAnsi="宋体"/>
                <w:szCs w:val="21"/>
              </w:rPr>
            </w:pPr>
            <w:r>
              <w:rPr>
                <w:rFonts w:hint="eastAsia" w:ascii="宋体" w:hAnsi="宋体"/>
                <w:szCs w:val="21"/>
              </w:rPr>
              <w:t>主要材质</w:t>
            </w:r>
          </w:p>
        </w:tc>
        <w:tc>
          <w:tcPr>
            <w:tcW w:w="720" w:type="dxa"/>
            <w:vAlign w:val="center"/>
          </w:tcPr>
          <w:p w14:paraId="38E68544">
            <w:pPr>
              <w:jc w:val="center"/>
              <w:rPr>
                <w:rFonts w:ascii="宋体" w:hAnsi="宋体"/>
                <w:szCs w:val="21"/>
              </w:rPr>
            </w:pPr>
            <w:r>
              <w:rPr>
                <w:rFonts w:hint="eastAsia" w:ascii="宋体" w:hAnsi="宋体"/>
                <w:szCs w:val="21"/>
              </w:rPr>
              <w:t>数量</w:t>
            </w:r>
          </w:p>
        </w:tc>
      </w:tr>
      <w:tr w14:paraId="6775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6" w:type="dxa"/>
            <w:vAlign w:val="center"/>
          </w:tcPr>
          <w:p w14:paraId="589826C5">
            <w:pPr>
              <w:jc w:val="center"/>
              <w:rPr>
                <w:rFonts w:ascii="宋体" w:hAnsi="宋体"/>
                <w:szCs w:val="21"/>
              </w:rPr>
            </w:pPr>
            <w:r>
              <w:rPr>
                <w:rFonts w:hint="eastAsia" w:ascii="宋体" w:hAnsi="宋体"/>
                <w:szCs w:val="21"/>
              </w:rPr>
              <w:t>1</w:t>
            </w:r>
          </w:p>
        </w:tc>
        <w:tc>
          <w:tcPr>
            <w:tcW w:w="2148" w:type="dxa"/>
            <w:vAlign w:val="center"/>
          </w:tcPr>
          <w:p w14:paraId="4B1AF5BE">
            <w:pPr>
              <w:jc w:val="left"/>
              <w:rPr>
                <w:rFonts w:ascii="宋体" w:hAnsi="宋体"/>
                <w:szCs w:val="21"/>
              </w:rPr>
            </w:pPr>
            <w:r>
              <w:rPr>
                <w:rFonts w:hint="eastAsia" w:ascii="宋体" w:hAnsi="宋体"/>
                <w:szCs w:val="21"/>
              </w:rPr>
              <w:t>税控燃油加油机</w:t>
            </w:r>
          </w:p>
        </w:tc>
        <w:tc>
          <w:tcPr>
            <w:tcW w:w="1079" w:type="dxa"/>
            <w:vAlign w:val="center"/>
          </w:tcPr>
          <w:p w14:paraId="3E5CCE3D">
            <w:pPr>
              <w:jc w:val="center"/>
              <w:rPr>
                <w:rFonts w:ascii="宋体" w:hAnsi="宋体"/>
                <w:szCs w:val="21"/>
              </w:rPr>
            </w:pPr>
          </w:p>
        </w:tc>
        <w:tc>
          <w:tcPr>
            <w:tcW w:w="2520" w:type="dxa"/>
            <w:vAlign w:val="center"/>
          </w:tcPr>
          <w:p w14:paraId="656C2833">
            <w:pPr>
              <w:jc w:val="center"/>
              <w:rPr>
                <w:rFonts w:ascii="宋体" w:hAnsi="宋体"/>
                <w:szCs w:val="21"/>
              </w:rPr>
            </w:pPr>
            <w:r>
              <w:rPr>
                <w:rFonts w:hint="eastAsia" w:ascii="宋体" w:hAnsi="宋体"/>
                <w:szCs w:val="21"/>
              </w:rPr>
              <w:t>92</w:t>
            </w:r>
            <w:r>
              <w:rPr>
                <w:rFonts w:hint="eastAsia" w:ascii="宋体" w:hAnsi="宋体"/>
                <w:szCs w:val="21"/>
                <w:vertAlign w:val="superscript"/>
              </w:rPr>
              <w:t>#</w:t>
            </w:r>
            <w:r>
              <w:rPr>
                <w:rFonts w:hint="eastAsia" w:ascii="宋体" w:hAnsi="宋体"/>
                <w:szCs w:val="21"/>
              </w:rPr>
              <w:t>、</w:t>
            </w:r>
            <w:r>
              <w:rPr>
                <w:rFonts w:hint="eastAsia" w:ascii="宋体" w:hAnsi="宋体"/>
                <w:szCs w:val="21"/>
                <w:lang w:val="en-US" w:eastAsia="zh-CN"/>
              </w:rPr>
              <w:t>5</w:t>
            </w:r>
            <w:r>
              <w:rPr>
                <w:rFonts w:hint="eastAsia" w:ascii="宋体" w:hAnsi="宋体"/>
                <w:szCs w:val="21"/>
              </w:rPr>
              <w:t>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715152C0">
            <w:pPr>
              <w:jc w:val="center"/>
              <w:rPr>
                <w:rFonts w:ascii="宋体" w:hAnsi="宋体"/>
                <w:szCs w:val="21"/>
              </w:rPr>
            </w:pPr>
            <w:r>
              <w:rPr>
                <w:rFonts w:hint="eastAsia" w:ascii="宋体" w:hAnsi="宋体"/>
                <w:szCs w:val="21"/>
              </w:rPr>
              <w:t>组合件</w:t>
            </w:r>
          </w:p>
        </w:tc>
        <w:tc>
          <w:tcPr>
            <w:tcW w:w="720" w:type="dxa"/>
            <w:vAlign w:val="center"/>
          </w:tcPr>
          <w:p w14:paraId="2A48D073">
            <w:pPr>
              <w:jc w:val="center"/>
              <w:rPr>
                <w:rFonts w:hint="eastAsia" w:ascii="宋体" w:hAnsi="宋体" w:eastAsia="宋体"/>
                <w:szCs w:val="21"/>
                <w:lang w:eastAsia="zh-CN"/>
              </w:rPr>
            </w:pPr>
            <w:r>
              <w:rPr>
                <w:rFonts w:hint="eastAsia" w:ascii="宋体" w:hAnsi="宋体"/>
                <w:szCs w:val="21"/>
                <w:lang w:val="en-US" w:eastAsia="zh-CN"/>
              </w:rPr>
              <w:t>4</w:t>
            </w:r>
          </w:p>
        </w:tc>
      </w:tr>
      <w:tr w14:paraId="188C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96" w:type="dxa"/>
            <w:vAlign w:val="center"/>
          </w:tcPr>
          <w:p w14:paraId="1967FFE6">
            <w:pPr>
              <w:jc w:val="center"/>
              <w:rPr>
                <w:rFonts w:ascii="宋体" w:hAnsi="宋体"/>
                <w:szCs w:val="21"/>
              </w:rPr>
            </w:pPr>
            <w:r>
              <w:rPr>
                <w:rFonts w:hint="eastAsia" w:ascii="宋体" w:hAnsi="宋体"/>
                <w:szCs w:val="21"/>
              </w:rPr>
              <w:t>2</w:t>
            </w:r>
          </w:p>
        </w:tc>
        <w:tc>
          <w:tcPr>
            <w:tcW w:w="2148" w:type="dxa"/>
            <w:vAlign w:val="center"/>
          </w:tcPr>
          <w:p w14:paraId="72B23C70">
            <w:pPr>
              <w:rPr>
                <w:rFonts w:ascii="宋体" w:hAnsi="宋体"/>
                <w:szCs w:val="21"/>
              </w:rPr>
            </w:pPr>
            <w:r>
              <w:rPr>
                <w:rFonts w:hint="eastAsia" w:ascii="宋体" w:hAnsi="宋体"/>
                <w:szCs w:val="21"/>
              </w:rPr>
              <w:t>加油枪</w:t>
            </w:r>
          </w:p>
        </w:tc>
        <w:tc>
          <w:tcPr>
            <w:tcW w:w="1079" w:type="dxa"/>
            <w:vAlign w:val="center"/>
          </w:tcPr>
          <w:p w14:paraId="1A9C8A02">
            <w:pPr>
              <w:jc w:val="center"/>
              <w:rPr>
                <w:rFonts w:ascii="宋体" w:hAnsi="宋体"/>
                <w:szCs w:val="21"/>
              </w:rPr>
            </w:pPr>
          </w:p>
        </w:tc>
        <w:tc>
          <w:tcPr>
            <w:tcW w:w="2520" w:type="dxa"/>
            <w:vAlign w:val="center"/>
          </w:tcPr>
          <w:p w14:paraId="1B6AAF4F">
            <w:pPr>
              <w:jc w:val="center"/>
              <w:rPr>
                <w:rFonts w:ascii="宋体" w:hAnsi="宋体"/>
                <w:szCs w:val="21"/>
              </w:rPr>
            </w:pPr>
            <w:r>
              <w:rPr>
                <w:rFonts w:hint="eastAsia" w:ascii="宋体" w:hAnsi="宋体"/>
                <w:szCs w:val="21"/>
              </w:rPr>
              <w:t>92</w:t>
            </w:r>
            <w:r>
              <w:rPr>
                <w:rFonts w:hint="eastAsia" w:ascii="宋体" w:hAnsi="宋体"/>
                <w:szCs w:val="21"/>
                <w:vertAlign w:val="superscript"/>
              </w:rPr>
              <w:t>#</w:t>
            </w:r>
            <w:r>
              <w:rPr>
                <w:rFonts w:hint="eastAsia" w:ascii="宋体" w:hAnsi="宋体"/>
                <w:szCs w:val="21"/>
              </w:rPr>
              <w:t>、9</w:t>
            </w:r>
            <w:r>
              <w:rPr>
                <w:rFonts w:hint="eastAsia" w:ascii="宋体" w:hAnsi="宋体"/>
                <w:szCs w:val="21"/>
                <w:lang w:val="en-US" w:eastAsia="zh-CN"/>
              </w:rPr>
              <w:t>5</w:t>
            </w:r>
            <w:r>
              <w:rPr>
                <w:rFonts w:hint="eastAsia" w:ascii="宋体" w:hAnsi="宋体"/>
                <w:szCs w:val="21"/>
                <w:vertAlign w:val="superscript"/>
              </w:rPr>
              <w:t>#</w:t>
            </w:r>
            <w:r>
              <w:rPr>
                <w:rFonts w:hint="eastAsia" w:ascii="宋体" w:hAnsi="宋体"/>
                <w:szCs w:val="21"/>
              </w:rPr>
              <w:t>、0#柴油</w:t>
            </w:r>
          </w:p>
        </w:tc>
        <w:tc>
          <w:tcPr>
            <w:tcW w:w="1260" w:type="dxa"/>
            <w:vAlign w:val="center"/>
          </w:tcPr>
          <w:p w14:paraId="21952515">
            <w:pPr>
              <w:jc w:val="center"/>
              <w:rPr>
                <w:rFonts w:ascii="宋体" w:hAnsi="宋体"/>
                <w:szCs w:val="21"/>
              </w:rPr>
            </w:pPr>
            <w:r>
              <w:rPr>
                <w:rFonts w:hint="eastAsia" w:ascii="宋体" w:hAnsi="宋体"/>
                <w:szCs w:val="21"/>
              </w:rPr>
              <w:t>组合件</w:t>
            </w:r>
          </w:p>
        </w:tc>
        <w:tc>
          <w:tcPr>
            <w:tcW w:w="720" w:type="dxa"/>
            <w:vAlign w:val="center"/>
          </w:tcPr>
          <w:p w14:paraId="46B495B2">
            <w:pPr>
              <w:jc w:val="center"/>
              <w:rPr>
                <w:rFonts w:hint="default" w:ascii="宋体" w:hAnsi="宋体" w:eastAsia="宋体"/>
                <w:szCs w:val="21"/>
                <w:lang w:val="en-US" w:eastAsia="zh-CN"/>
              </w:rPr>
            </w:pPr>
            <w:r>
              <w:rPr>
                <w:rFonts w:hint="eastAsia" w:ascii="宋体" w:hAnsi="宋体"/>
                <w:szCs w:val="21"/>
                <w:lang w:val="en-US" w:eastAsia="zh-CN"/>
              </w:rPr>
              <w:t>8</w:t>
            </w:r>
          </w:p>
        </w:tc>
      </w:tr>
      <w:tr w14:paraId="2959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6D41100">
            <w:pPr>
              <w:jc w:val="center"/>
              <w:rPr>
                <w:rFonts w:ascii="宋体" w:hAnsi="宋体"/>
                <w:szCs w:val="21"/>
              </w:rPr>
            </w:pPr>
            <w:r>
              <w:rPr>
                <w:rFonts w:hint="eastAsia" w:ascii="宋体" w:hAnsi="宋体"/>
                <w:szCs w:val="21"/>
              </w:rPr>
              <w:t>3</w:t>
            </w:r>
          </w:p>
        </w:tc>
        <w:tc>
          <w:tcPr>
            <w:tcW w:w="2148" w:type="dxa"/>
            <w:vAlign w:val="center"/>
          </w:tcPr>
          <w:p w14:paraId="7B23E243">
            <w:pPr>
              <w:rPr>
                <w:rFonts w:ascii="宋体" w:hAnsi="宋体"/>
                <w:szCs w:val="21"/>
              </w:rPr>
            </w:pPr>
            <w:r>
              <w:rPr>
                <w:rFonts w:hint="eastAsia" w:ascii="宋体" w:hAnsi="宋体"/>
                <w:szCs w:val="21"/>
              </w:rPr>
              <w:t>92#汽油罐</w:t>
            </w:r>
          </w:p>
        </w:tc>
        <w:tc>
          <w:tcPr>
            <w:tcW w:w="1079" w:type="dxa"/>
            <w:vAlign w:val="center"/>
          </w:tcPr>
          <w:p w14:paraId="3B71F1C8">
            <w:pPr>
              <w:jc w:val="center"/>
              <w:rPr>
                <w:rFonts w:ascii="宋体" w:hAnsi="宋体"/>
                <w:szCs w:val="21"/>
              </w:rPr>
            </w:pPr>
            <w:r>
              <w:rPr>
                <w:rFonts w:hint="eastAsia" w:ascii="宋体" w:hAnsi="宋体"/>
                <w:szCs w:val="21"/>
                <w:lang w:val="en-US" w:eastAsia="zh-CN"/>
              </w:rPr>
              <w:t>3</w:t>
            </w:r>
            <w:r>
              <w:rPr>
                <w:rFonts w:hint="eastAsia" w:ascii="宋体" w:hAnsi="宋体"/>
                <w:szCs w:val="21"/>
              </w:rPr>
              <w:t>0m</w:t>
            </w:r>
            <w:r>
              <w:rPr>
                <w:rFonts w:hint="eastAsia" w:ascii="宋体" w:hAnsi="宋体"/>
                <w:szCs w:val="21"/>
                <w:vertAlign w:val="superscript"/>
              </w:rPr>
              <w:t>3</w:t>
            </w:r>
          </w:p>
        </w:tc>
        <w:tc>
          <w:tcPr>
            <w:tcW w:w="2520" w:type="dxa"/>
            <w:vAlign w:val="center"/>
          </w:tcPr>
          <w:p w14:paraId="2A394F8C">
            <w:pPr>
              <w:jc w:val="center"/>
              <w:rPr>
                <w:rFonts w:ascii="宋体" w:hAnsi="宋体"/>
                <w:szCs w:val="21"/>
              </w:rPr>
            </w:pPr>
            <w:r>
              <w:rPr>
                <w:rFonts w:hint="eastAsia" w:ascii="宋体" w:hAnsi="宋体"/>
                <w:szCs w:val="21"/>
              </w:rPr>
              <w:t>92#汽油</w:t>
            </w:r>
          </w:p>
        </w:tc>
        <w:tc>
          <w:tcPr>
            <w:tcW w:w="1260" w:type="dxa"/>
            <w:vAlign w:val="center"/>
          </w:tcPr>
          <w:p w14:paraId="72A4D68E">
            <w:pPr>
              <w:jc w:val="center"/>
              <w:rPr>
                <w:rFonts w:ascii="宋体" w:hAnsi="宋体"/>
                <w:szCs w:val="21"/>
              </w:rPr>
            </w:pPr>
            <w:r>
              <w:rPr>
                <w:rFonts w:hint="eastAsia" w:ascii="宋体" w:hAnsi="宋体"/>
                <w:szCs w:val="21"/>
              </w:rPr>
              <w:t>SF</w:t>
            </w:r>
          </w:p>
        </w:tc>
        <w:tc>
          <w:tcPr>
            <w:tcW w:w="720" w:type="dxa"/>
            <w:vAlign w:val="center"/>
          </w:tcPr>
          <w:p w14:paraId="0D47AF7E">
            <w:pPr>
              <w:jc w:val="center"/>
              <w:rPr>
                <w:rFonts w:hint="eastAsia" w:ascii="宋体" w:hAnsi="宋体" w:eastAsia="宋体"/>
                <w:szCs w:val="21"/>
                <w:lang w:eastAsia="zh-CN"/>
              </w:rPr>
            </w:pPr>
            <w:r>
              <w:rPr>
                <w:rFonts w:hint="eastAsia" w:ascii="宋体" w:hAnsi="宋体"/>
                <w:szCs w:val="21"/>
                <w:lang w:val="en-US" w:eastAsia="zh-CN"/>
              </w:rPr>
              <w:t>1</w:t>
            </w:r>
          </w:p>
        </w:tc>
      </w:tr>
      <w:tr w14:paraId="0D42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F3059A9">
            <w:pPr>
              <w:jc w:val="center"/>
              <w:rPr>
                <w:rFonts w:hint="eastAsia" w:ascii="宋体" w:hAnsi="宋体" w:eastAsia="宋体"/>
                <w:szCs w:val="21"/>
                <w:lang w:eastAsia="zh-CN"/>
              </w:rPr>
            </w:pPr>
            <w:r>
              <w:rPr>
                <w:rFonts w:hint="eastAsia" w:ascii="宋体" w:hAnsi="宋体"/>
                <w:lang w:val="en-US" w:eastAsia="zh-CN"/>
              </w:rPr>
              <w:t>4</w:t>
            </w:r>
          </w:p>
        </w:tc>
        <w:tc>
          <w:tcPr>
            <w:tcW w:w="2148" w:type="dxa"/>
            <w:vAlign w:val="center"/>
          </w:tcPr>
          <w:p w14:paraId="62607260">
            <w:pPr>
              <w:rPr>
                <w:rFonts w:ascii="宋体" w:hAnsi="宋体"/>
                <w:szCs w:val="21"/>
              </w:rPr>
            </w:pPr>
            <w:r>
              <w:rPr>
                <w:rFonts w:hint="eastAsia" w:ascii="宋体" w:hAnsi="宋体"/>
                <w:szCs w:val="21"/>
              </w:rPr>
              <w:t>9</w:t>
            </w:r>
            <w:r>
              <w:rPr>
                <w:rFonts w:hint="eastAsia" w:ascii="宋体" w:hAnsi="宋体"/>
                <w:szCs w:val="21"/>
                <w:lang w:val="en-US" w:eastAsia="zh-CN"/>
              </w:rPr>
              <w:t>5</w:t>
            </w:r>
            <w:r>
              <w:rPr>
                <w:rFonts w:hint="eastAsia" w:ascii="宋体" w:hAnsi="宋体"/>
                <w:szCs w:val="21"/>
              </w:rPr>
              <w:t>#汽油罐</w:t>
            </w:r>
          </w:p>
        </w:tc>
        <w:tc>
          <w:tcPr>
            <w:tcW w:w="1079" w:type="dxa"/>
            <w:vAlign w:val="center"/>
          </w:tcPr>
          <w:p w14:paraId="50EA9296">
            <w:pPr>
              <w:jc w:val="center"/>
              <w:rPr>
                <w:rFonts w:ascii="宋体" w:hAnsi="宋体"/>
                <w:szCs w:val="21"/>
              </w:rPr>
            </w:pPr>
            <w:r>
              <w:rPr>
                <w:rFonts w:hint="eastAsia" w:ascii="宋体" w:hAnsi="宋体"/>
                <w:lang w:val="en-US" w:eastAsia="zh-CN"/>
              </w:rPr>
              <w:t>3</w:t>
            </w:r>
            <w:r>
              <w:rPr>
                <w:rFonts w:hint="eastAsia" w:ascii="宋体" w:hAnsi="宋体"/>
              </w:rPr>
              <w:t>0m</w:t>
            </w:r>
            <w:r>
              <w:rPr>
                <w:rFonts w:hint="eastAsia" w:ascii="宋体" w:hAnsi="宋体"/>
                <w:vertAlign w:val="superscript"/>
              </w:rPr>
              <w:t>3</w:t>
            </w:r>
          </w:p>
        </w:tc>
        <w:tc>
          <w:tcPr>
            <w:tcW w:w="2520" w:type="dxa"/>
            <w:vAlign w:val="center"/>
          </w:tcPr>
          <w:p w14:paraId="7D953843">
            <w:pPr>
              <w:jc w:val="center"/>
              <w:rPr>
                <w:rFonts w:ascii="宋体" w:hAnsi="宋体"/>
                <w:szCs w:val="21"/>
              </w:rPr>
            </w:pPr>
            <w:r>
              <w:rPr>
                <w:rFonts w:hint="eastAsia" w:ascii="宋体" w:hAnsi="宋体"/>
                <w:szCs w:val="21"/>
              </w:rPr>
              <w:t>9</w:t>
            </w:r>
            <w:r>
              <w:rPr>
                <w:rFonts w:hint="eastAsia" w:ascii="宋体" w:hAnsi="宋体"/>
                <w:szCs w:val="21"/>
                <w:lang w:val="en-US" w:eastAsia="zh-CN"/>
              </w:rPr>
              <w:t>5</w:t>
            </w:r>
            <w:r>
              <w:rPr>
                <w:rFonts w:hint="eastAsia" w:ascii="宋体" w:hAnsi="宋体"/>
                <w:szCs w:val="21"/>
              </w:rPr>
              <w:t>#汽油</w:t>
            </w:r>
          </w:p>
        </w:tc>
        <w:tc>
          <w:tcPr>
            <w:tcW w:w="1260" w:type="dxa"/>
            <w:vAlign w:val="center"/>
          </w:tcPr>
          <w:p w14:paraId="6B4A863C">
            <w:pPr>
              <w:jc w:val="center"/>
              <w:rPr>
                <w:rFonts w:ascii="宋体" w:hAnsi="宋体"/>
                <w:szCs w:val="21"/>
              </w:rPr>
            </w:pPr>
            <w:r>
              <w:rPr>
                <w:rFonts w:hint="eastAsia" w:ascii="宋体" w:hAnsi="宋体"/>
              </w:rPr>
              <w:t>SF</w:t>
            </w:r>
          </w:p>
        </w:tc>
        <w:tc>
          <w:tcPr>
            <w:tcW w:w="720" w:type="dxa"/>
            <w:vAlign w:val="center"/>
          </w:tcPr>
          <w:p w14:paraId="740D60EB">
            <w:pPr>
              <w:jc w:val="center"/>
              <w:rPr>
                <w:rFonts w:hint="eastAsia" w:ascii="宋体" w:hAnsi="宋体" w:eastAsia="宋体"/>
                <w:szCs w:val="21"/>
                <w:lang w:eastAsia="zh-CN"/>
              </w:rPr>
            </w:pPr>
            <w:r>
              <w:rPr>
                <w:rFonts w:hint="eastAsia" w:ascii="宋体" w:hAnsi="宋体"/>
                <w:lang w:val="en-US" w:eastAsia="zh-CN"/>
              </w:rPr>
              <w:t>1</w:t>
            </w:r>
          </w:p>
        </w:tc>
      </w:tr>
      <w:tr w14:paraId="766C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0CF3FE65">
            <w:pPr>
              <w:jc w:val="center"/>
              <w:rPr>
                <w:rFonts w:hint="eastAsia" w:ascii="宋体" w:hAnsi="宋体"/>
                <w:lang w:val="en-US" w:eastAsia="zh-CN"/>
              </w:rPr>
            </w:pPr>
            <w:bookmarkStart w:id="128" w:name="_Toc71894883"/>
            <w:r>
              <w:rPr>
                <w:rFonts w:hint="eastAsia" w:ascii="宋体" w:hAnsi="宋体"/>
                <w:lang w:val="en-US" w:eastAsia="zh-CN"/>
              </w:rPr>
              <w:t>5</w:t>
            </w:r>
          </w:p>
        </w:tc>
        <w:tc>
          <w:tcPr>
            <w:tcW w:w="2148" w:type="dxa"/>
            <w:vAlign w:val="center"/>
          </w:tcPr>
          <w:p w14:paraId="34071140">
            <w:pPr>
              <w:rPr>
                <w:rFonts w:hint="eastAsia" w:ascii="宋体" w:hAnsi="宋体"/>
                <w:szCs w:val="21"/>
              </w:rPr>
            </w:pPr>
            <w:r>
              <w:rPr>
                <w:rFonts w:hint="eastAsia" w:ascii="宋体" w:hAnsi="宋体"/>
                <w:szCs w:val="21"/>
              </w:rPr>
              <w:t>0#柴油罐</w:t>
            </w:r>
          </w:p>
        </w:tc>
        <w:tc>
          <w:tcPr>
            <w:tcW w:w="1079" w:type="dxa"/>
            <w:vAlign w:val="center"/>
          </w:tcPr>
          <w:p w14:paraId="73F981A9">
            <w:pPr>
              <w:jc w:val="center"/>
              <w:rPr>
                <w:rFonts w:hint="eastAsia" w:ascii="宋体" w:hAnsi="宋体"/>
                <w:lang w:val="en-US" w:eastAsia="zh-CN"/>
              </w:rPr>
            </w:pPr>
            <w:r>
              <w:rPr>
                <w:rFonts w:hint="eastAsia" w:ascii="宋体" w:hAnsi="宋体"/>
                <w:lang w:val="en-US" w:eastAsia="zh-CN"/>
              </w:rPr>
              <w:t>5</w:t>
            </w:r>
            <w:r>
              <w:rPr>
                <w:rFonts w:hint="eastAsia" w:ascii="宋体" w:hAnsi="宋体"/>
              </w:rPr>
              <w:t>0m</w:t>
            </w:r>
            <w:r>
              <w:rPr>
                <w:rFonts w:hint="eastAsia" w:ascii="宋体" w:hAnsi="宋体"/>
                <w:vertAlign w:val="superscript"/>
              </w:rPr>
              <w:t>3</w:t>
            </w:r>
          </w:p>
        </w:tc>
        <w:tc>
          <w:tcPr>
            <w:tcW w:w="2520" w:type="dxa"/>
            <w:vAlign w:val="center"/>
          </w:tcPr>
          <w:p w14:paraId="089618FD">
            <w:pPr>
              <w:jc w:val="center"/>
              <w:rPr>
                <w:rFonts w:hint="eastAsia" w:ascii="宋体" w:hAnsi="宋体"/>
                <w:szCs w:val="21"/>
              </w:rPr>
            </w:pPr>
            <w:r>
              <w:rPr>
                <w:rFonts w:hint="eastAsia" w:ascii="宋体" w:hAnsi="宋体"/>
                <w:szCs w:val="21"/>
              </w:rPr>
              <w:t>0#柴油</w:t>
            </w:r>
          </w:p>
        </w:tc>
        <w:tc>
          <w:tcPr>
            <w:tcW w:w="1260" w:type="dxa"/>
            <w:vAlign w:val="center"/>
          </w:tcPr>
          <w:p w14:paraId="0914F337">
            <w:pPr>
              <w:jc w:val="center"/>
              <w:rPr>
                <w:rFonts w:hint="eastAsia" w:ascii="宋体" w:hAnsi="宋体"/>
              </w:rPr>
            </w:pPr>
            <w:r>
              <w:rPr>
                <w:rFonts w:hint="eastAsia" w:ascii="宋体" w:hAnsi="宋体"/>
              </w:rPr>
              <w:t>SF</w:t>
            </w:r>
          </w:p>
        </w:tc>
        <w:tc>
          <w:tcPr>
            <w:tcW w:w="720" w:type="dxa"/>
            <w:vAlign w:val="center"/>
          </w:tcPr>
          <w:p w14:paraId="6733BC73">
            <w:pPr>
              <w:jc w:val="center"/>
              <w:rPr>
                <w:rFonts w:hint="eastAsia" w:ascii="宋体" w:hAnsi="宋体"/>
                <w:lang w:val="en-US" w:eastAsia="zh-CN"/>
              </w:rPr>
            </w:pPr>
            <w:r>
              <w:rPr>
                <w:rFonts w:hint="eastAsia" w:ascii="宋体" w:hAnsi="宋体"/>
                <w:lang w:val="en-US" w:eastAsia="zh-CN"/>
              </w:rPr>
              <w:t>1</w:t>
            </w:r>
          </w:p>
        </w:tc>
      </w:tr>
    </w:tbl>
    <w:p w14:paraId="1AABAE2A">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2.9</w:t>
      </w:r>
      <w:bookmarkStart w:id="129" w:name="_Toc71556580"/>
      <w:r>
        <w:rPr>
          <w:rFonts w:hint="eastAsia" w:ascii="楷体_GB2312" w:hAnsi="宋体" w:eastAsia="楷体_GB2312"/>
          <w:kern w:val="3"/>
        </w:rPr>
        <w:t>加油站安全装置及措施</w:t>
      </w:r>
      <w:bookmarkEnd w:id="128"/>
      <w:bookmarkEnd w:id="129"/>
    </w:p>
    <w:p w14:paraId="6DE49C03">
      <w:pPr>
        <w:pStyle w:val="4"/>
        <w:spacing w:afterLines="100" w:line="500" w:lineRule="exact"/>
        <w:rPr>
          <w:rFonts w:ascii="黑体" w:hAnsi="宋体"/>
          <w:kern w:val="3"/>
          <w:sz w:val="28"/>
          <w:szCs w:val="28"/>
        </w:rPr>
      </w:pPr>
      <w:bookmarkStart w:id="130" w:name="_Toc71894884"/>
      <w:r>
        <w:rPr>
          <w:rFonts w:hint="eastAsia" w:ascii="黑体" w:hAnsi="宋体"/>
          <w:kern w:val="3"/>
          <w:sz w:val="28"/>
          <w:szCs w:val="28"/>
        </w:rPr>
        <w:t>2.9.1油罐及卸油区安全设施</w:t>
      </w:r>
      <w:bookmarkEnd w:id="130"/>
    </w:p>
    <w:p w14:paraId="75692EB8">
      <w:pPr>
        <w:spacing w:line="500" w:lineRule="exact"/>
        <w:ind w:firstLine="560" w:firstLineChars="200"/>
        <w:rPr>
          <w:rFonts w:ascii="宋体" w:hAnsi="宋体"/>
          <w:sz w:val="28"/>
          <w:szCs w:val="28"/>
        </w:rPr>
      </w:pPr>
      <w:r>
        <w:rPr>
          <w:rFonts w:hint="eastAsia" w:ascii="宋体" w:hAnsi="宋体"/>
          <w:sz w:val="28"/>
          <w:szCs w:val="28"/>
        </w:rPr>
        <w:t>1、设置SF</w:t>
      </w:r>
      <w:r>
        <w:rPr>
          <w:rFonts w:ascii="宋体" w:hAnsi="宋体"/>
          <w:sz w:val="28"/>
          <w:szCs w:val="28"/>
        </w:rPr>
        <w:t>储油罐</w:t>
      </w:r>
      <w:r>
        <w:rPr>
          <w:rFonts w:hint="eastAsia" w:ascii="宋体" w:hAnsi="宋体"/>
          <w:sz w:val="28"/>
          <w:szCs w:val="28"/>
        </w:rPr>
        <w:t>于防渗罐池中。罐池内设置了水位观测立管。</w:t>
      </w:r>
    </w:p>
    <w:p w14:paraId="180019A8">
      <w:pPr>
        <w:spacing w:line="500" w:lineRule="exact"/>
        <w:ind w:firstLine="560" w:firstLineChars="200"/>
        <w:rPr>
          <w:rFonts w:ascii="宋体" w:hAnsi="宋体"/>
          <w:sz w:val="28"/>
          <w:szCs w:val="28"/>
        </w:rPr>
      </w:pPr>
      <w:r>
        <w:rPr>
          <w:rFonts w:hint="eastAsia" w:ascii="宋体" w:hAnsi="宋体"/>
          <w:sz w:val="28"/>
          <w:szCs w:val="28"/>
        </w:rPr>
        <w:t>2、油罐埋地设置。</w:t>
      </w:r>
    </w:p>
    <w:p w14:paraId="20CE6A49">
      <w:pPr>
        <w:spacing w:line="500" w:lineRule="exact"/>
        <w:ind w:firstLine="560" w:firstLineChars="200"/>
        <w:rPr>
          <w:rFonts w:ascii="宋体" w:hAnsi="宋体"/>
          <w:sz w:val="28"/>
          <w:szCs w:val="28"/>
        </w:rPr>
      </w:pPr>
      <w:r>
        <w:rPr>
          <w:rFonts w:hint="eastAsia" w:ascii="宋体" w:hAnsi="宋体"/>
          <w:sz w:val="28"/>
          <w:szCs w:val="28"/>
        </w:rPr>
        <w:t>3、每个罐设置有两个人孔盖操作井，井盖为统一专用井盖。</w:t>
      </w:r>
    </w:p>
    <w:p w14:paraId="111E105C">
      <w:pPr>
        <w:spacing w:line="500" w:lineRule="exact"/>
        <w:ind w:firstLine="560" w:firstLineChars="200"/>
        <w:rPr>
          <w:rFonts w:ascii="宋体" w:hAnsi="宋体"/>
          <w:sz w:val="28"/>
          <w:szCs w:val="28"/>
        </w:rPr>
      </w:pPr>
      <w:r>
        <w:rPr>
          <w:rFonts w:hint="eastAsia" w:ascii="宋体" w:hAnsi="宋体"/>
          <w:sz w:val="28"/>
          <w:szCs w:val="28"/>
        </w:rPr>
        <w:t>4、油罐设置了液位在线监测，报警装置终端安装在营业室内。</w:t>
      </w:r>
    </w:p>
    <w:p w14:paraId="6E34D427">
      <w:pPr>
        <w:spacing w:line="500" w:lineRule="exact"/>
        <w:ind w:firstLine="560" w:firstLineChars="200"/>
        <w:rPr>
          <w:rFonts w:ascii="宋体" w:hAnsi="宋体"/>
          <w:sz w:val="28"/>
          <w:szCs w:val="28"/>
        </w:rPr>
      </w:pPr>
      <w:r>
        <w:rPr>
          <w:rFonts w:hint="eastAsia" w:ascii="宋体" w:hAnsi="宋体"/>
          <w:sz w:val="28"/>
          <w:szCs w:val="28"/>
        </w:rPr>
        <w:t>5、油罐操作井内的输油管道法兰用铜片做了静电跨接，用铜缆线做了接地连接。</w:t>
      </w:r>
    </w:p>
    <w:p w14:paraId="29624B98">
      <w:pPr>
        <w:spacing w:line="500" w:lineRule="exact"/>
        <w:ind w:firstLine="560" w:firstLineChars="200"/>
        <w:rPr>
          <w:rFonts w:ascii="宋体" w:hAnsi="宋体"/>
          <w:sz w:val="28"/>
          <w:szCs w:val="28"/>
        </w:rPr>
      </w:pPr>
      <w:r>
        <w:rPr>
          <w:rFonts w:hint="eastAsia" w:ascii="宋体" w:hAnsi="宋体"/>
          <w:sz w:val="28"/>
          <w:szCs w:val="28"/>
        </w:rPr>
        <w:t>6、油罐人孔盖上设置有人工量油孔。</w:t>
      </w:r>
    </w:p>
    <w:p w14:paraId="01E54022">
      <w:pPr>
        <w:spacing w:line="500" w:lineRule="exact"/>
        <w:ind w:firstLine="560" w:firstLineChars="200"/>
        <w:rPr>
          <w:rFonts w:ascii="宋体" w:hAnsi="宋体"/>
          <w:sz w:val="28"/>
          <w:szCs w:val="28"/>
        </w:rPr>
      </w:pPr>
      <w:r>
        <w:rPr>
          <w:rFonts w:hint="eastAsia" w:ascii="宋体" w:hAnsi="宋体"/>
          <w:sz w:val="28"/>
          <w:szCs w:val="28"/>
        </w:rPr>
        <w:t>7、汽油罐与柴油罐的通气管分开设置，通气管口沿罩棚立柱向上敷设，高出罩棚2m，柴油、汽油分开设置，通气管口安装阻火器，其中汽油通气管口设置机械呼吸阀。</w:t>
      </w:r>
    </w:p>
    <w:p w14:paraId="117B72B3">
      <w:pPr>
        <w:spacing w:line="500" w:lineRule="exact"/>
        <w:ind w:firstLine="560" w:firstLineChars="200"/>
        <w:rPr>
          <w:rFonts w:ascii="宋体" w:hAnsi="宋体"/>
          <w:sz w:val="28"/>
          <w:szCs w:val="28"/>
        </w:rPr>
      </w:pPr>
      <w:r>
        <w:rPr>
          <w:rFonts w:hint="eastAsia" w:ascii="宋体" w:hAnsi="宋体"/>
          <w:sz w:val="28"/>
          <w:szCs w:val="28"/>
        </w:rPr>
        <w:t>8、每个油罐单独设置了卸油管，卸油管口集中设置在卸油井内，卸油管口安装了阀门和快速接头，设置了油品标识。</w:t>
      </w:r>
    </w:p>
    <w:p w14:paraId="53F903F2">
      <w:pPr>
        <w:spacing w:line="500" w:lineRule="exact"/>
        <w:ind w:firstLine="560" w:firstLineChars="200"/>
        <w:rPr>
          <w:rFonts w:ascii="宋体" w:hAnsi="宋体"/>
          <w:sz w:val="28"/>
          <w:szCs w:val="28"/>
        </w:rPr>
      </w:pPr>
      <w:r>
        <w:rPr>
          <w:rFonts w:hint="eastAsia" w:ascii="宋体" w:hAnsi="宋体"/>
          <w:sz w:val="28"/>
          <w:szCs w:val="28"/>
        </w:rPr>
        <w:t>9、卸油口一侧设置了1根人体静电释放柱，旁边设置了静电接地桩，配备有带报警的卸油静电接地报警仪。</w:t>
      </w:r>
    </w:p>
    <w:p w14:paraId="6AA51DF4">
      <w:pPr>
        <w:spacing w:line="500" w:lineRule="exact"/>
        <w:ind w:firstLine="560" w:firstLineChars="200"/>
        <w:rPr>
          <w:rFonts w:ascii="宋体" w:hAnsi="宋体"/>
          <w:sz w:val="28"/>
          <w:szCs w:val="28"/>
        </w:rPr>
      </w:pPr>
      <w:r>
        <w:rPr>
          <w:rFonts w:hint="eastAsia" w:ascii="宋体" w:hAnsi="宋体"/>
          <w:sz w:val="28"/>
          <w:szCs w:val="28"/>
        </w:rPr>
        <w:t>10、卸油井旁边设置了卸油安全操作规程告知牌。</w:t>
      </w:r>
    </w:p>
    <w:p w14:paraId="6B7F55C1">
      <w:pPr>
        <w:spacing w:line="500" w:lineRule="exact"/>
        <w:ind w:firstLine="560" w:firstLineChars="200"/>
        <w:rPr>
          <w:rFonts w:ascii="宋体" w:hAnsi="宋体"/>
          <w:sz w:val="28"/>
          <w:szCs w:val="28"/>
        </w:rPr>
      </w:pPr>
      <w:r>
        <w:rPr>
          <w:rFonts w:hint="eastAsia" w:ascii="宋体" w:hAnsi="宋体"/>
          <w:sz w:val="28"/>
          <w:szCs w:val="28"/>
        </w:rPr>
        <w:t>11、罐池外设置了消防沙池并配备了消防桶、消防铲及灭火器。</w:t>
      </w:r>
    </w:p>
    <w:p w14:paraId="382C6ADB">
      <w:pPr>
        <w:pStyle w:val="4"/>
        <w:spacing w:afterLines="100" w:line="500" w:lineRule="exact"/>
        <w:rPr>
          <w:rFonts w:ascii="黑体" w:hAnsi="宋体"/>
          <w:kern w:val="3"/>
          <w:sz w:val="28"/>
          <w:szCs w:val="28"/>
        </w:rPr>
      </w:pPr>
      <w:bookmarkStart w:id="131" w:name="_Toc71894885"/>
      <w:r>
        <w:rPr>
          <w:rFonts w:hint="eastAsia" w:ascii="黑体" w:hAnsi="宋体"/>
          <w:kern w:val="3"/>
          <w:sz w:val="28"/>
          <w:szCs w:val="28"/>
        </w:rPr>
        <w:t>2.9.2加油区安全设施</w:t>
      </w:r>
      <w:bookmarkEnd w:id="131"/>
    </w:p>
    <w:p w14:paraId="6DE1C434">
      <w:pPr>
        <w:spacing w:line="500" w:lineRule="exact"/>
        <w:ind w:firstLine="560" w:firstLineChars="200"/>
        <w:rPr>
          <w:rFonts w:ascii="宋体" w:hAnsi="宋体"/>
          <w:sz w:val="28"/>
          <w:szCs w:val="28"/>
        </w:rPr>
      </w:pPr>
      <w:r>
        <w:rPr>
          <w:rFonts w:hint="eastAsia" w:ascii="宋体" w:hAnsi="宋体"/>
          <w:sz w:val="28"/>
          <w:szCs w:val="28"/>
        </w:rPr>
        <w:t>1、加油机为潜油泵式加油机，加油机电气设备为防爆型，电气设备和加油机外壳均已接地。加油机底部工艺管道沟已填埋细砂。</w:t>
      </w:r>
    </w:p>
    <w:p w14:paraId="4AA4DFF3">
      <w:pPr>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szCs w:val="28"/>
          <w:lang w:val="en-US" w:eastAsia="zh-CN"/>
        </w:rPr>
        <w:t>站房门口</w:t>
      </w:r>
      <w:r>
        <w:rPr>
          <w:rFonts w:hint="eastAsia" w:ascii="宋体" w:hAnsi="宋体"/>
          <w:sz w:val="28"/>
          <w:szCs w:val="28"/>
        </w:rPr>
        <w:t>设置了急停按钮，加油机上做了油品标识。</w:t>
      </w:r>
    </w:p>
    <w:p w14:paraId="67CAB2BA">
      <w:pPr>
        <w:spacing w:line="500" w:lineRule="exact"/>
        <w:ind w:firstLine="560" w:firstLineChars="200"/>
        <w:rPr>
          <w:rFonts w:ascii="宋体" w:hAnsi="宋体"/>
          <w:sz w:val="28"/>
          <w:szCs w:val="28"/>
        </w:rPr>
      </w:pPr>
      <w:r>
        <w:rPr>
          <w:rFonts w:hint="eastAsia" w:ascii="宋体" w:hAnsi="宋体"/>
          <w:sz w:val="28"/>
          <w:szCs w:val="28"/>
        </w:rPr>
        <w:t>3、加油机加油软管上安装安全拉断阀。</w:t>
      </w:r>
    </w:p>
    <w:p w14:paraId="37DCB6E1">
      <w:pPr>
        <w:spacing w:line="500" w:lineRule="exact"/>
        <w:ind w:firstLine="560" w:firstLineChars="200"/>
        <w:rPr>
          <w:rFonts w:ascii="宋体" w:hAnsi="宋体"/>
          <w:sz w:val="28"/>
          <w:szCs w:val="28"/>
        </w:rPr>
      </w:pPr>
      <w:r>
        <w:rPr>
          <w:rFonts w:hint="eastAsia" w:ascii="宋体" w:hAnsi="宋体"/>
          <w:sz w:val="28"/>
          <w:szCs w:val="28"/>
        </w:rPr>
        <w:t>4、加油机底部供油管设置了剪切阀。</w:t>
      </w:r>
    </w:p>
    <w:p w14:paraId="56CA0B99">
      <w:pPr>
        <w:spacing w:line="500" w:lineRule="exact"/>
        <w:ind w:firstLine="560" w:firstLineChars="200"/>
        <w:rPr>
          <w:rFonts w:ascii="宋体" w:hAnsi="宋体"/>
          <w:sz w:val="28"/>
          <w:szCs w:val="28"/>
        </w:rPr>
      </w:pPr>
      <w:r>
        <w:rPr>
          <w:rFonts w:hint="eastAsia" w:ascii="宋体" w:hAnsi="宋体"/>
          <w:sz w:val="28"/>
          <w:szCs w:val="28"/>
        </w:rPr>
        <w:t>5、加油岛端部（罩棚立柱）设置防碰撞栏杆，岛端距离罩棚立柱0.75m。加油区设置了应急照明。</w:t>
      </w:r>
    </w:p>
    <w:p w14:paraId="3F067F85">
      <w:pPr>
        <w:spacing w:line="500" w:lineRule="exact"/>
        <w:ind w:firstLine="560" w:firstLineChars="200"/>
        <w:rPr>
          <w:rFonts w:ascii="宋体" w:hAnsi="宋体"/>
          <w:sz w:val="28"/>
          <w:szCs w:val="28"/>
        </w:rPr>
      </w:pPr>
      <w:r>
        <w:rPr>
          <w:rFonts w:hint="eastAsia" w:ascii="宋体" w:hAnsi="宋体"/>
          <w:sz w:val="28"/>
          <w:szCs w:val="28"/>
        </w:rPr>
        <w:t>6、罩棚立柱上设置有严禁烟火标识，设置熄火加油、限速5公里等标识。</w:t>
      </w:r>
    </w:p>
    <w:p w14:paraId="0ABAF1FB">
      <w:pPr>
        <w:spacing w:line="500" w:lineRule="exact"/>
        <w:ind w:firstLine="560" w:firstLineChars="200"/>
        <w:rPr>
          <w:rFonts w:ascii="宋体" w:hAnsi="宋体"/>
          <w:sz w:val="28"/>
          <w:szCs w:val="28"/>
        </w:rPr>
      </w:pPr>
      <w:r>
        <w:rPr>
          <w:rFonts w:hint="eastAsia" w:ascii="宋体" w:hAnsi="宋体"/>
          <w:sz w:val="28"/>
          <w:szCs w:val="28"/>
        </w:rPr>
        <w:t>7、站内道路为砼地面。</w:t>
      </w:r>
    </w:p>
    <w:p w14:paraId="3C9F11C5">
      <w:pPr>
        <w:spacing w:line="500" w:lineRule="exact"/>
        <w:ind w:firstLine="560" w:firstLineChars="200"/>
        <w:rPr>
          <w:rFonts w:ascii="宋体" w:hAnsi="宋体"/>
          <w:sz w:val="28"/>
          <w:szCs w:val="28"/>
        </w:rPr>
      </w:pPr>
      <w:r>
        <w:rPr>
          <w:rFonts w:hint="eastAsia" w:ascii="宋体" w:hAnsi="宋体"/>
          <w:sz w:val="28"/>
          <w:szCs w:val="28"/>
        </w:rPr>
        <w:t>8、在加油区、埋地罐区内安装了视频监控探头，监控屏幕设置在营业室内。</w:t>
      </w:r>
    </w:p>
    <w:p w14:paraId="2747C1F8">
      <w:pPr>
        <w:spacing w:line="500" w:lineRule="exact"/>
        <w:ind w:firstLine="560" w:firstLineChars="200"/>
        <w:rPr>
          <w:rFonts w:ascii="宋体" w:hAnsi="宋体"/>
          <w:sz w:val="28"/>
          <w:szCs w:val="28"/>
        </w:rPr>
      </w:pPr>
      <w:r>
        <w:rPr>
          <w:rFonts w:hint="eastAsia" w:ascii="宋体" w:hAnsi="宋体"/>
          <w:sz w:val="28"/>
          <w:szCs w:val="28"/>
        </w:rPr>
        <w:t>9、加油区进站口、出站口设置了“进口”、“出口”指示箭头标识牌。在进、出站口的地面上设置了减速标志。</w:t>
      </w:r>
    </w:p>
    <w:p w14:paraId="163A3915">
      <w:pPr>
        <w:pStyle w:val="4"/>
        <w:spacing w:afterLines="100" w:line="500" w:lineRule="exact"/>
        <w:rPr>
          <w:rFonts w:ascii="黑体" w:hAnsi="宋体"/>
          <w:kern w:val="3"/>
          <w:sz w:val="28"/>
          <w:szCs w:val="28"/>
        </w:rPr>
      </w:pPr>
      <w:bookmarkStart w:id="132" w:name="_Toc71894887"/>
      <w:bookmarkStart w:id="133" w:name="_Toc71894886"/>
      <w:r>
        <w:rPr>
          <w:rFonts w:hint="eastAsia" w:ascii="黑体" w:hAnsi="宋体"/>
          <w:kern w:val="3"/>
          <w:sz w:val="28"/>
          <w:szCs w:val="28"/>
        </w:rPr>
        <w:t>2.9.4防雷防静电设施</w:t>
      </w:r>
      <w:bookmarkEnd w:id="132"/>
    </w:p>
    <w:p w14:paraId="56580A2D">
      <w:pPr>
        <w:spacing w:line="500" w:lineRule="exact"/>
        <w:ind w:firstLine="560" w:firstLineChars="200"/>
        <w:rPr>
          <w:rFonts w:ascii="宋体" w:hAnsi="宋体"/>
          <w:sz w:val="28"/>
          <w:szCs w:val="28"/>
        </w:rPr>
      </w:pPr>
      <w:r>
        <w:rPr>
          <w:rFonts w:hint="eastAsia" w:ascii="宋体" w:hAnsi="宋体"/>
          <w:sz w:val="28"/>
          <w:szCs w:val="28"/>
        </w:rPr>
        <w:t>1、站区罩棚、站房屋面边沿设置了避雷带；设置了引下线。</w:t>
      </w:r>
    </w:p>
    <w:p w14:paraId="1482FE12">
      <w:pPr>
        <w:spacing w:line="500" w:lineRule="exact"/>
        <w:ind w:firstLine="560" w:firstLineChars="200"/>
        <w:rPr>
          <w:rFonts w:ascii="宋体" w:hAnsi="宋体"/>
          <w:sz w:val="28"/>
          <w:szCs w:val="28"/>
        </w:rPr>
      </w:pPr>
      <w:r>
        <w:rPr>
          <w:rFonts w:hint="eastAsia" w:ascii="宋体" w:hAnsi="宋体"/>
          <w:sz w:val="28"/>
          <w:szCs w:val="28"/>
        </w:rPr>
        <w:t>2、输油管道法兰盘已设跨接线，卸油口管道进行静电连接。</w:t>
      </w:r>
    </w:p>
    <w:p w14:paraId="219EEB1B">
      <w:pPr>
        <w:spacing w:line="500" w:lineRule="exact"/>
        <w:ind w:firstLine="560" w:firstLineChars="200"/>
        <w:rPr>
          <w:rFonts w:ascii="宋体" w:hAnsi="宋体"/>
          <w:sz w:val="28"/>
          <w:szCs w:val="28"/>
        </w:rPr>
      </w:pPr>
      <w:r>
        <w:rPr>
          <w:rFonts w:hint="eastAsia" w:ascii="宋体" w:hAnsi="宋体"/>
          <w:sz w:val="28"/>
          <w:szCs w:val="28"/>
        </w:rPr>
        <w:t>3、电器穿线管露出地面部分进行也铜线跨接。</w:t>
      </w:r>
    </w:p>
    <w:p w14:paraId="7A565DB5">
      <w:pPr>
        <w:spacing w:line="500" w:lineRule="exact"/>
        <w:ind w:firstLine="560" w:firstLineChars="200"/>
        <w:rPr>
          <w:rFonts w:ascii="宋体" w:hAnsi="宋体"/>
          <w:color w:val="auto"/>
          <w:sz w:val="28"/>
          <w:szCs w:val="28"/>
        </w:rPr>
      </w:pPr>
      <w:r>
        <w:rPr>
          <w:rFonts w:hint="eastAsia" w:ascii="宋体" w:hAnsi="宋体"/>
          <w:sz w:val="28"/>
          <w:szCs w:val="28"/>
        </w:rPr>
        <w:t>4、油罐、加油机、</w:t>
      </w:r>
      <w:r>
        <w:rPr>
          <w:rFonts w:hint="eastAsia" w:ascii="宋体" w:hAnsi="宋体"/>
          <w:color w:val="auto"/>
          <w:sz w:val="28"/>
          <w:szCs w:val="28"/>
        </w:rPr>
        <w:t>站房等进行了防雷静电接地处理。</w:t>
      </w:r>
    </w:p>
    <w:p w14:paraId="2AD724A8">
      <w:pPr>
        <w:spacing w:line="500" w:lineRule="exact"/>
        <w:ind w:firstLine="560" w:firstLineChars="200"/>
        <w:rPr>
          <w:rFonts w:ascii="宋体" w:hAnsi="宋体"/>
          <w:sz w:val="28"/>
          <w:szCs w:val="28"/>
        </w:rPr>
      </w:pPr>
      <w:r>
        <w:rPr>
          <w:rFonts w:hint="eastAsia" w:ascii="宋体" w:hAnsi="宋体"/>
          <w:color w:val="auto"/>
          <w:sz w:val="28"/>
          <w:szCs w:val="28"/>
        </w:rPr>
        <w:t>5、加油站的防雷防静电设施于20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6</w:t>
      </w:r>
      <w:r>
        <w:rPr>
          <w:rFonts w:hint="eastAsia" w:ascii="宋体" w:hAnsi="宋体"/>
          <w:color w:val="auto"/>
          <w:sz w:val="28"/>
          <w:szCs w:val="28"/>
        </w:rPr>
        <w:t>月</w:t>
      </w:r>
      <w:r>
        <w:rPr>
          <w:rFonts w:hint="eastAsia" w:ascii="宋体" w:hAnsi="宋体"/>
          <w:color w:val="auto"/>
          <w:sz w:val="28"/>
          <w:szCs w:val="28"/>
          <w:lang w:val="en-US" w:eastAsia="zh-CN"/>
        </w:rPr>
        <w:t>16</w:t>
      </w:r>
      <w:r>
        <w:rPr>
          <w:rFonts w:hint="eastAsia" w:ascii="宋体" w:hAnsi="宋体"/>
          <w:color w:val="auto"/>
          <w:sz w:val="28"/>
          <w:szCs w:val="28"/>
        </w:rPr>
        <w:t>日完成检测，下次检测日期为202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12</w:t>
      </w:r>
      <w:r>
        <w:rPr>
          <w:rFonts w:hint="eastAsia" w:ascii="宋体" w:hAnsi="宋体"/>
          <w:color w:val="auto"/>
          <w:sz w:val="28"/>
          <w:szCs w:val="28"/>
        </w:rPr>
        <w:t>月</w:t>
      </w:r>
      <w:r>
        <w:rPr>
          <w:rFonts w:hint="eastAsia" w:ascii="宋体" w:hAnsi="宋体"/>
          <w:color w:val="auto"/>
          <w:sz w:val="28"/>
          <w:szCs w:val="28"/>
          <w:lang w:val="en-US" w:eastAsia="zh-CN"/>
        </w:rPr>
        <w:t>16</w:t>
      </w:r>
      <w:r>
        <w:rPr>
          <w:rFonts w:hint="eastAsia" w:ascii="宋体" w:hAnsi="宋体"/>
          <w:color w:val="auto"/>
          <w:sz w:val="28"/>
          <w:szCs w:val="28"/>
        </w:rPr>
        <w:t>日前。检测结论为：符</w:t>
      </w:r>
      <w:r>
        <w:rPr>
          <w:rFonts w:hint="eastAsia" w:ascii="宋体" w:hAnsi="宋体"/>
          <w:sz w:val="28"/>
          <w:szCs w:val="28"/>
        </w:rPr>
        <w:t>合相关标准要求。</w:t>
      </w:r>
    </w:p>
    <w:p w14:paraId="0B46F65A">
      <w:pPr>
        <w:pStyle w:val="4"/>
        <w:spacing w:afterLines="100" w:line="500" w:lineRule="exact"/>
        <w:rPr>
          <w:rFonts w:ascii="黑体" w:hAnsi="宋体"/>
          <w:kern w:val="3"/>
          <w:sz w:val="28"/>
          <w:szCs w:val="28"/>
        </w:rPr>
      </w:pPr>
      <w:r>
        <w:rPr>
          <w:rFonts w:hint="eastAsia" w:ascii="黑体" w:hAnsi="宋体"/>
          <w:kern w:val="3"/>
          <w:sz w:val="28"/>
          <w:szCs w:val="28"/>
        </w:rPr>
        <w:t>2.9.3消防设施</w:t>
      </w:r>
      <w:bookmarkEnd w:id="133"/>
    </w:p>
    <w:p w14:paraId="773F67BC">
      <w:pPr>
        <w:spacing w:line="500" w:lineRule="exact"/>
        <w:ind w:firstLine="560" w:firstLineChars="200"/>
        <w:rPr>
          <w:rFonts w:ascii="宋体" w:hAnsi="宋体"/>
          <w:sz w:val="28"/>
          <w:szCs w:val="28"/>
        </w:rPr>
      </w:pPr>
      <w:r>
        <w:rPr>
          <w:rFonts w:hint="eastAsia" w:ascii="宋体" w:hAnsi="宋体"/>
          <w:sz w:val="28"/>
          <w:szCs w:val="28"/>
        </w:rPr>
        <w:t>该加油站未设置消防水系统，配备了灭火器、灭火毯、消防沙等消防设施。</w:t>
      </w:r>
    </w:p>
    <w:p w14:paraId="59BCC7A5">
      <w:pPr>
        <w:spacing w:line="500" w:lineRule="exact"/>
        <w:ind w:firstLine="560" w:firstLineChars="200"/>
        <w:rPr>
          <w:rFonts w:ascii="宋体" w:hAnsi="宋体"/>
          <w:sz w:val="28"/>
          <w:szCs w:val="28"/>
        </w:rPr>
      </w:pPr>
      <w:r>
        <w:rPr>
          <w:rFonts w:hint="eastAsia" w:ascii="宋体" w:hAnsi="宋体"/>
          <w:sz w:val="28"/>
          <w:szCs w:val="28"/>
        </w:rPr>
        <w:t>1、在罐池外设置了</w:t>
      </w:r>
      <w:r>
        <w:rPr>
          <w:rFonts w:hint="eastAsia" w:ascii="宋体" w:hAnsi="宋体"/>
          <w:sz w:val="28"/>
          <w:szCs w:val="28"/>
          <w:lang w:val="en-US" w:eastAsia="zh-CN"/>
        </w:rPr>
        <w:t>1</w:t>
      </w:r>
      <w:r>
        <w:rPr>
          <w:rFonts w:hint="eastAsia" w:ascii="宋体" w:hAnsi="宋体"/>
          <w:sz w:val="28"/>
          <w:szCs w:val="28"/>
        </w:rPr>
        <w:t>个</w:t>
      </w:r>
      <w:r>
        <w:rPr>
          <w:rFonts w:hint="eastAsia" w:ascii="宋体" w:hAnsi="宋体"/>
          <w:sz w:val="28"/>
          <w:szCs w:val="28"/>
          <w:lang w:val="en-US" w:eastAsia="zh-CN"/>
        </w:rPr>
        <w:t>2</w:t>
      </w:r>
      <w:r>
        <w:rPr>
          <w:rFonts w:hint="eastAsia" w:ascii="宋体" w:hAnsi="宋体"/>
          <w:sz w:val="28"/>
          <w:szCs w:val="28"/>
        </w:rPr>
        <w:t>m³的消防沙箱，配备了5把消防铲和5只消防桶</w:t>
      </w:r>
    </w:p>
    <w:p w14:paraId="1AAFC268">
      <w:pPr>
        <w:spacing w:line="500" w:lineRule="exact"/>
        <w:ind w:firstLine="560" w:firstLineChars="200"/>
        <w:rPr>
          <w:rFonts w:ascii="宋体" w:hAnsi="宋体"/>
          <w:sz w:val="28"/>
          <w:szCs w:val="28"/>
        </w:rPr>
      </w:pPr>
      <w:r>
        <w:rPr>
          <w:rFonts w:hint="eastAsia" w:ascii="宋体" w:hAnsi="宋体"/>
          <w:sz w:val="28"/>
          <w:szCs w:val="28"/>
        </w:rPr>
        <w:t>2、在卸油区摆放</w:t>
      </w:r>
      <w:r>
        <w:rPr>
          <w:rFonts w:hint="eastAsia" w:ascii="宋体" w:hAnsi="宋体"/>
          <w:sz w:val="28"/>
          <w:szCs w:val="28"/>
          <w:lang w:val="en-US" w:eastAsia="zh-CN"/>
        </w:rPr>
        <w:t>2</w:t>
      </w:r>
      <w:r>
        <w:rPr>
          <w:rFonts w:hint="eastAsia" w:ascii="宋体" w:hAnsi="宋体"/>
          <w:sz w:val="28"/>
          <w:szCs w:val="28"/>
        </w:rPr>
        <w:t>具35kg推车式干粉灭火器</w:t>
      </w:r>
      <w:r>
        <w:rPr>
          <w:rFonts w:hint="eastAsia" w:ascii="宋体" w:hAnsi="宋体"/>
          <w:sz w:val="28"/>
          <w:szCs w:val="28"/>
          <w:lang w:eastAsia="zh-CN"/>
        </w:rPr>
        <w:t>、</w:t>
      </w:r>
      <w:r>
        <w:rPr>
          <w:rFonts w:hint="eastAsia" w:ascii="宋体" w:hAnsi="宋体"/>
          <w:sz w:val="28"/>
          <w:szCs w:val="28"/>
          <w:lang w:val="en-US" w:eastAsia="zh-CN"/>
        </w:rPr>
        <w:t>2具8</w:t>
      </w:r>
      <w:r>
        <w:rPr>
          <w:rFonts w:hint="eastAsia" w:ascii="宋体" w:hAnsi="宋体"/>
          <w:sz w:val="28"/>
          <w:szCs w:val="28"/>
        </w:rPr>
        <w:t>kg灭火器</w:t>
      </w:r>
      <w:r>
        <w:rPr>
          <w:rFonts w:hint="eastAsia" w:ascii="宋体" w:hAnsi="宋体"/>
          <w:sz w:val="28"/>
          <w:szCs w:val="28"/>
          <w:lang w:eastAsia="zh-CN"/>
        </w:rPr>
        <w:t>、</w:t>
      </w:r>
      <w:r>
        <w:rPr>
          <w:rFonts w:hint="eastAsia" w:ascii="宋体" w:hAnsi="宋体"/>
          <w:sz w:val="28"/>
          <w:szCs w:val="28"/>
          <w:lang w:val="en-US" w:eastAsia="zh-CN"/>
        </w:rPr>
        <w:t>2</w:t>
      </w:r>
      <w:r>
        <w:rPr>
          <w:rFonts w:hint="eastAsia" w:ascii="宋体" w:hAnsi="宋体"/>
          <w:sz w:val="28"/>
          <w:szCs w:val="28"/>
        </w:rPr>
        <w:t>床</w:t>
      </w:r>
      <w:r>
        <w:rPr>
          <w:rFonts w:hint="eastAsia" w:ascii="宋体" w:hAnsi="宋体"/>
          <w:sz w:val="28"/>
          <w:szCs w:val="28"/>
          <w:lang w:val="en-US" w:eastAsia="zh-CN"/>
        </w:rPr>
        <w:t>灭火毯，加油区</w:t>
      </w:r>
      <w:r>
        <w:rPr>
          <w:rFonts w:hint="eastAsia" w:ascii="宋体" w:hAnsi="宋体"/>
          <w:sz w:val="28"/>
          <w:szCs w:val="28"/>
        </w:rPr>
        <w:t>摆放</w:t>
      </w:r>
      <w:r>
        <w:rPr>
          <w:rFonts w:hint="eastAsia" w:ascii="宋体" w:hAnsi="宋体"/>
          <w:sz w:val="28"/>
          <w:szCs w:val="28"/>
          <w:lang w:val="en-US" w:eastAsia="zh-CN"/>
        </w:rPr>
        <w:t>10具5</w:t>
      </w:r>
      <w:r>
        <w:rPr>
          <w:rFonts w:hint="eastAsia" w:ascii="宋体" w:hAnsi="宋体"/>
          <w:sz w:val="28"/>
          <w:szCs w:val="28"/>
        </w:rPr>
        <w:t>kg灭火器</w:t>
      </w:r>
      <w:r>
        <w:rPr>
          <w:rFonts w:hint="eastAsia" w:ascii="宋体" w:hAnsi="宋体"/>
          <w:sz w:val="28"/>
          <w:szCs w:val="28"/>
          <w:lang w:eastAsia="zh-CN"/>
        </w:rPr>
        <w:t>，</w:t>
      </w:r>
      <w:r>
        <w:rPr>
          <w:rFonts w:hint="eastAsia" w:ascii="宋体" w:hAnsi="宋体"/>
          <w:sz w:val="28"/>
          <w:szCs w:val="28"/>
          <w:lang w:val="en-US" w:eastAsia="zh-CN"/>
        </w:rPr>
        <w:t>4</w:t>
      </w:r>
      <w:r>
        <w:rPr>
          <w:rFonts w:hint="eastAsia" w:ascii="宋体" w:hAnsi="宋体"/>
          <w:sz w:val="28"/>
          <w:szCs w:val="28"/>
        </w:rPr>
        <w:t>床</w:t>
      </w:r>
      <w:r>
        <w:rPr>
          <w:rFonts w:hint="eastAsia" w:ascii="宋体" w:hAnsi="宋体"/>
          <w:sz w:val="28"/>
          <w:szCs w:val="28"/>
          <w:lang w:val="en-US" w:eastAsia="zh-CN"/>
        </w:rPr>
        <w:t>灭火毯</w:t>
      </w:r>
      <w:r>
        <w:rPr>
          <w:rFonts w:hint="eastAsia" w:ascii="宋体" w:hAnsi="宋体"/>
          <w:sz w:val="28"/>
          <w:szCs w:val="28"/>
        </w:rPr>
        <w:t>。</w:t>
      </w:r>
    </w:p>
    <w:p w14:paraId="0E5E53E7">
      <w:pPr>
        <w:spacing w:line="500" w:lineRule="exact"/>
        <w:ind w:firstLine="560" w:firstLineChars="200"/>
        <w:rPr>
          <w:rFonts w:ascii="宋体" w:hAnsi="宋体"/>
          <w:sz w:val="28"/>
          <w:szCs w:val="28"/>
        </w:rPr>
      </w:pPr>
      <w:r>
        <w:rPr>
          <w:rFonts w:hint="eastAsia" w:ascii="宋体" w:hAnsi="宋体"/>
          <w:sz w:val="28"/>
          <w:szCs w:val="28"/>
        </w:rPr>
        <w:t>3、在加油岛上每台加油机旁配置1个灭火器箱，内装2具干粉灭火器，每台加油机上摆放了1床灭火毯。</w:t>
      </w:r>
    </w:p>
    <w:p w14:paraId="33D56EF8">
      <w:pPr>
        <w:spacing w:line="500" w:lineRule="exact"/>
        <w:ind w:firstLine="560" w:firstLineChars="200"/>
        <w:rPr>
          <w:rFonts w:ascii="宋体" w:hAnsi="宋体"/>
          <w:sz w:val="28"/>
          <w:szCs w:val="28"/>
        </w:rPr>
      </w:pPr>
      <w:r>
        <w:rPr>
          <w:rFonts w:hint="eastAsia" w:ascii="宋体" w:hAnsi="宋体"/>
          <w:sz w:val="28"/>
          <w:szCs w:val="28"/>
        </w:rPr>
        <w:t>4、在配电室摆放了</w:t>
      </w:r>
      <w:r>
        <w:rPr>
          <w:rFonts w:hint="eastAsia" w:ascii="宋体" w:hAnsi="宋体"/>
          <w:sz w:val="28"/>
          <w:szCs w:val="28"/>
          <w:lang w:val="en-US" w:eastAsia="zh-CN"/>
        </w:rPr>
        <w:t>4</w:t>
      </w:r>
      <w:r>
        <w:rPr>
          <w:rFonts w:hint="eastAsia" w:ascii="宋体" w:hAnsi="宋体"/>
          <w:sz w:val="28"/>
          <w:szCs w:val="28"/>
        </w:rPr>
        <w:t>具</w:t>
      </w:r>
      <w:r>
        <w:rPr>
          <w:rFonts w:hint="eastAsia" w:ascii="宋体" w:hAnsi="宋体"/>
          <w:sz w:val="28"/>
          <w:szCs w:val="28"/>
          <w:lang w:eastAsia="zh-CN"/>
        </w:rPr>
        <w:t>、</w:t>
      </w:r>
      <w:r>
        <w:rPr>
          <w:rFonts w:hint="eastAsia" w:ascii="宋体" w:hAnsi="宋体"/>
          <w:sz w:val="28"/>
          <w:szCs w:val="28"/>
          <w:lang w:val="en-US" w:eastAsia="zh-CN"/>
        </w:rPr>
        <w:t>发电机房2</w:t>
      </w:r>
      <w:r>
        <w:rPr>
          <w:rFonts w:hint="eastAsia" w:ascii="宋体" w:hAnsi="宋体"/>
          <w:sz w:val="28"/>
          <w:szCs w:val="28"/>
        </w:rPr>
        <w:t>具</w:t>
      </w:r>
      <w:r>
        <w:rPr>
          <w:rFonts w:hint="eastAsia" w:ascii="宋体" w:hAnsi="宋体"/>
          <w:sz w:val="28"/>
          <w:szCs w:val="28"/>
          <w:lang w:eastAsia="zh-CN"/>
        </w:rPr>
        <w:t>、</w:t>
      </w:r>
      <w:r>
        <w:rPr>
          <w:rFonts w:hint="eastAsia" w:ascii="宋体" w:hAnsi="宋体"/>
          <w:sz w:val="28"/>
          <w:szCs w:val="28"/>
          <w:lang w:val="en-US" w:eastAsia="zh-CN"/>
        </w:rPr>
        <w:t>站房2</w:t>
      </w:r>
      <w:r>
        <w:rPr>
          <w:rFonts w:hint="eastAsia" w:ascii="宋体" w:hAnsi="宋体"/>
          <w:sz w:val="28"/>
          <w:szCs w:val="28"/>
        </w:rPr>
        <w:t>具</w:t>
      </w:r>
      <w:r>
        <w:rPr>
          <w:rFonts w:ascii="宋体" w:hAnsi="宋体"/>
          <w:sz w:val="28"/>
          <w:szCs w:val="28"/>
        </w:rPr>
        <w:t>4</w:t>
      </w:r>
      <w:r>
        <w:rPr>
          <w:rFonts w:hint="eastAsia" w:ascii="宋体" w:hAnsi="宋体"/>
          <w:sz w:val="28"/>
          <w:szCs w:val="28"/>
        </w:rPr>
        <w:t>kg二氧化碳灭火器。</w:t>
      </w:r>
    </w:p>
    <w:p w14:paraId="3BFB5F2A">
      <w:pPr>
        <w:pStyle w:val="4"/>
        <w:spacing w:afterLines="100" w:line="500" w:lineRule="exact"/>
        <w:rPr>
          <w:rFonts w:ascii="黑体" w:hAnsi="宋体"/>
          <w:kern w:val="3"/>
          <w:sz w:val="28"/>
          <w:szCs w:val="28"/>
        </w:rPr>
      </w:pPr>
      <w:bookmarkStart w:id="134" w:name="_Toc71894888"/>
      <w:r>
        <w:rPr>
          <w:rFonts w:hint="eastAsia" w:ascii="黑体" w:hAnsi="宋体"/>
          <w:kern w:val="3"/>
          <w:sz w:val="28"/>
          <w:szCs w:val="28"/>
        </w:rPr>
        <w:t>2.9.5视频监控</w:t>
      </w:r>
      <w:bookmarkEnd w:id="134"/>
    </w:p>
    <w:p w14:paraId="2F7475CD">
      <w:pPr>
        <w:spacing w:line="500" w:lineRule="exact"/>
        <w:ind w:firstLine="560" w:firstLineChars="200"/>
        <w:rPr>
          <w:rFonts w:ascii="宋体" w:hAnsi="宋体"/>
          <w:sz w:val="28"/>
          <w:szCs w:val="28"/>
        </w:rPr>
      </w:pPr>
      <w:r>
        <w:rPr>
          <w:rFonts w:hint="eastAsia" w:ascii="宋体" w:hAnsi="宋体"/>
          <w:sz w:val="28"/>
          <w:szCs w:val="28"/>
        </w:rPr>
        <w:t>加油站在加油区、罐区内、进出口处设置了</w:t>
      </w:r>
      <w:r>
        <w:rPr>
          <w:rFonts w:hint="eastAsia" w:ascii="宋体" w:hAnsi="宋体"/>
          <w:sz w:val="28"/>
          <w:szCs w:val="28"/>
          <w:lang w:val="en-US" w:eastAsia="zh-CN"/>
        </w:rPr>
        <w:t>7</w:t>
      </w:r>
      <w:r>
        <w:rPr>
          <w:rFonts w:hint="eastAsia" w:ascii="宋体" w:hAnsi="宋体"/>
          <w:sz w:val="28"/>
          <w:szCs w:val="28"/>
        </w:rPr>
        <w:t>个视频监控探头，在营业室内设置了视频监控显示屏。视频监控覆盖了加油站作业场所区域，储存时间为90天以上。</w:t>
      </w:r>
    </w:p>
    <w:p w14:paraId="0C11A9D7">
      <w:pPr>
        <w:pStyle w:val="4"/>
        <w:spacing w:afterLines="100" w:line="500" w:lineRule="exact"/>
        <w:rPr>
          <w:rFonts w:ascii="黑体" w:hAnsi="宋体"/>
          <w:kern w:val="3"/>
          <w:sz w:val="28"/>
          <w:szCs w:val="28"/>
        </w:rPr>
      </w:pPr>
      <w:bookmarkStart w:id="135" w:name="_Toc71894889"/>
      <w:r>
        <w:rPr>
          <w:rFonts w:hint="eastAsia" w:ascii="黑体" w:hAnsi="宋体"/>
          <w:kern w:val="3"/>
          <w:sz w:val="28"/>
          <w:szCs w:val="28"/>
        </w:rPr>
        <w:t>2.9.6公辅设施安全设施</w:t>
      </w:r>
      <w:bookmarkEnd w:id="135"/>
    </w:p>
    <w:p w14:paraId="6418A21C">
      <w:pPr>
        <w:spacing w:line="500" w:lineRule="exact"/>
        <w:ind w:firstLine="560" w:firstLineChars="200"/>
        <w:rPr>
          <w:rFonts w:ascii="宋体" w:hAnsi="宋体"/>
          <w:sz w:val="28"/>
          <w:szCs w:val="28"/>
        </w:rPr>
      </w:pPr>
      <w:r>
        <w:rPr>
          <w:rFonts w:hint="eastAsia" w:ascii="宋体" w:hAnsi="宋体"/>
          <w:sz w:val="28"/>
          <w:szCs w:val="28"/>
        </w:rPr>
        <w:t>1、配电柜前地面设置绝缘垫，配电室设置了应急照明灯。</w:t>
      </w:r>
    </w:p>
    <w:p w14:paraId="12804701">
      <w:pPr>
        <w:spacing w:line="500" w:lineRule="exact"/>
        <w:ind w:firstLine="560" w:firstLineChars="200"/>
        <w:rPr>
          <w:rFonts w:ascii="宋体" w:hAnsi="宋体"/>
          <w:sz w:val="28"/>
          <w:szCs w:val="28"/>
        </w:rPr>
      </w:pPr>
      <w:r>
        <w:rPr>
          <w:rFonts w:hint="eastAsia" w:ascii="宋体" w:hAnsi="宋体"/>
          <w:sz w:val="28"/>
          <w:szCs w:val="28"/>
        </w:rPr>
        <w:t>2、在配电房内配电箱内设置了断电总闸开关，可断开加油站外部供电电源。</w:t>
      </w:r>
    </w:p>
    <w:p w14:paraId="09DAE286">
      <w:pPr>
        <w:pStyle w:val="4"/>
        <w:spacing w:afterLines="100" w:line="500" w:lineRule="exact"/>
        <w:rPr>
          <w:rFonts w:ascii="黑体" w:hAnsi="宋体"/>
          <w:kern w:val="3"/>
          <w:sz w:val="28"/>
          <w:szCs w:val="28"/>
        </w:rPr>
      </w:pPr>
      <w:bookmarkStart w:id="136" w:name="_Toc71894890"/>
      <w:r>
        <w:rPr>
          <w:rFonts w:hint="eastAsia" w:ascii="黑体" w:hAnsi="宋体"/>
          <w:kern w:val="3"/>
          <w:sz w:val="28"/>
          <w:szCs w:val="28"/>
        </w:rPr>
        <w:t>2.9.7劳动防护用品</w:t>
      </w:r>
      <w:bookmarkEnd w:id="136"/>
    </w:p>
    <w:p w14:paraId="6A74CDF0">
      <w:pPr>
        <w:spacing w:line="500" w:lineRule="exact"/>
        <w:ind w:firstLine="560" w:firstLineChars="200"/>
        <w:rPr>
          <w:rFonts w:ascii="宋体" w:hAnsi="宋体"/>
          <w:sz w:val="28"/>
          <w:szCs w:val="28"/>
        </w:rPr>
      </w:pPr>
      <w:r>
        <w:rPr>
          <w:rFonts w:hint="eastAsia" w:ascii="宋体" w:hAnsi="宋体"/>
          <w:sz w:val="28"/>
          <w:szCs w:val="28"/>
        </w:rPr>
        <w:t>加油站为员工发放防静电工作服、手套等劳动防护用品，并监督使用。</w:t>
      </w:r>
    </w:p>
    <w:p w14:paraId="7663D797">
      <w:pPr>
        <w:pStyle w:val="4"/>
        <w:spacing w:afterLines="100" w:line="500" w:lineRule="exact"/>
        <w:rPr>
          <w:rFonts w:ascii="黑体" w:hAnsi="宋体"/>
          <w:kern w:val="3"/>
          <w:sz w:val="28"/>
          <w:szCs w:val="28"/>
        </w:rPr>
      </w:pPr>
      <w:bookmarkStart w:id="137" w:name="_Toc71894891"/>
      <w:r>
        <w:rPr>
          <w:rFonts w:hint="eastAsia" w:ascii="黑体" w:hAnsi="宋体"/>
          <w:kern w:val="3"/>
          <w:sz w:val="28"/>
          <w:szCs w:val="28"/>
        </w:rPr>
        <w:t>2.9.8加油站安全投入情况</w:t>
      </w:r>
      <w:bookmarkEnd w:id="137"/>
    </w:p>
    <w:p w14:paraId="0755B355">
      <w:pPr>
        <w:spacing w:line="500" w:lineRule="exact"/>
        <w:ind w:firstLine="560" w:firstLineChars="200"/>
        <w:rPr>
          <w:rFonts w:ascii="宋体" w:hAnsi="宋体"/>
          <w:sz w:val="28"/>
          <w:szCs w:val="28"/>
        </w:rPr>
      </w:pPr>
      <w:r>
        <w:rPr>
          <w:rFonts w:hint="eastAsia" w:ascii="宋体" w:hAnsi="宋体"/>
          <w:sz w:val="28"/>
          <w:szCs w:val="28"/>
        </w:rPr>
        <w:t>根据现场了解</w:t>
      </w:r>
      <w:r>
        <w:rPr>
          <w:rFonts w:hint="eastAsia" w:ascii="宋体" w:hAnsi="宋体"/>
          <w:sz w:val="28"/>
          <w:szCs w:val="28"/>
          <w:lang w:eastAsia="zh-CN"/>
        </w:rPr>
        <w:t>盐津县豆沙狮子湾加油站</w:t>
      </w:r>
      <w:r>
        <w:rPr>
          <w:rFonts w:hint="eastAsia" w:ascii="宋体" w:hAnsi="宋体"/>
          <w:sz w:val="28"/>
          <w:szCs w:val="28"/>
        </w:rPr>
        <w:t>2</w:t>
      </w:r>
      <w:r>
        <w:rPr>
          <w:rFonts w:ascii="宋体" w:hAnsi="宋体"/>
          <w:sz w:val="28"/>
          <w:szCs w:val="28"/>
        </w:rPr>
        <w:t>02</w:t>
      </w:r>
      <w:r>
        <w:rPr>
          <w:rFonts w:hint="eastAsia" w:ascii="宋体" w:hAnsi="宋体"/>
          <w:sz w:val="28"/>
          <w:szCs w:val="28"/>
          <w:lang w:val="en-US" w:eastAsia="zh-CN"/>
        </w:rPr>
        <w:t>4</w:t>
      </w:r>
      <w:r>
        <w:rPr>
          <w:rFonts w:hint="eastAsia" w:ascii="宋体" w:hAnsi="宋体"/>
          <w:sz w:val="28"/>
          <w:szCs w:val="28"/>
        </w:rPr>
        <w:t>年的安全投资费用约为</w:t>
      </w:r>
      <w:r>
        <w:rPr>
          <w:rFonts w:hint="eastAsia" w:ascii="宋体" w:hAnsi="宋体"/>
          <w:sz w:val="28"/>
          <w:szCs w:val="28"/>
          <w:lang w:val="en-US" w:eastAsia="zh-CN"/>
        </w:rPr>
        <w:t>9.5</w:t>
      </w:r>
      <w:r>
        <w:rPr>
          <w:rFonts w:hint="eastAsia" w:ascii="宋体" w:hAnsi="宋体"/>
          <w:sz w:val="28"/>
          <w:szCs w:val="28"/>
        </w:rPr>
        <w:t>万元。该加油站的安全费用具体如下：</w:t>
      </w:r>
    </w:p>
    <w:p w14:paraId="3AA4B9FE">
      <w:pPr>
        <w:spacing w:line="500" w:lineRule="exact"/>
        <w:ind w:firstLine="560" w:firstLineChars="200"/>
        <w:rPr>
          <w:rFonts w:ascii="宋体" w:hAnsi="宋体"/>
          <w:sz w:val="28"/>
          <w:szCs w:val="28"/>
        </w:rPr>
      </w:pPr>
      <w:r>
        <w:rPr>
          <w:rFonts w:hint="eastAsia" w:ascii="宋体" w:hAnsi="宋体"/>
          <w:sz w:val="28"/>
          <w:szCs w:val="28"/>
        </w:rPr>
        <w:t>消防设施维护保养及更换：</w:t>
      </w:r>
      <w:r>
        <w:rPr>
          <w:rFonts w:hint="eastAsia" w:ascii="宋体" w:hAnsi="宋体"/>
          <w:sz w:val="28"/>
          <w:szCs w:val="28"/>
          <w:lang w:val="en-US" w:eastAsia="zh-CN"/>
        </w:rPr>
        <w:t>3</w:t>
      </w:r>
      <w:r>
        <w:rPr>
          <w:rFonts w:hint="eastAsia" w:ascii="宋体" w:hAnsi="宋体"/>
          <w:sz w:val="28"/>
          <w:szCs w:val="28"/>
        </w:rPr>
        <w:t>万元</w:t>
      </w:r>
    </w:p>
    <w:p w14:paraId="59B5DC00">
      <w:pPr>
        <w:spacing w:line="500" w:lineRule="exact"/>
        <w:ind w:firstLine="560" w:firstLineChars="200"/>
        <w:rPr>
          <w:rFonts w:ascii="宋体" w:hAnsi="宋体"/>
          <w:sz w:val="28"/>
          <w:szCs w:val="28"/>
        </w:rPr>
      </w:pPr>
      <w:r>
        <w:rPr>
          <w:rFonts w:hint="eastAsia" w:ascii="宋体" w:hAnsi="宋体"/>
          <w:sz w:val="28"/>
          <w:szCs w:val="28"/>
        </w:rPr>
        <w:t>防雷防静电设施：0.5万</w:t>
      </w:r>
    </w:p>
    <w:p w14:paraId="279996EB">
      <w:pPr>
        <w:spacing w:line="500" w:lineRule="exact"/>
        <w:ind w:firstLine="560" w:firstLineChars="200"/>
        <w:rPr>
          <w:rFonts w:ascii="宋体" w:hAnsi="宋体"/>
          <w:sz w:val="28"/>
          <w:szCs w:val="28"/>
        </w:rPr>
      </w:pPr>
      <w:r>
        <w:rPr>
          <w:rFonts w:hint="eastAsia" w:ascii="宋体" w:hAnsi="宋体"/>
          <w:sz w:val="28"/>
          <w:szCs w:val="28"/>
        </w:rPr>
        <w:t>其他安全设施费用（安全警示标签等）：2万元</w:t>
      </w:r>
    </w:p>
    <w:p w14:paraId="6156780E">
      <w:pPr>
        <w:spacing w:line="500" w:lineRule="exact"/>
        <w:ind w:firstLine="560" w:firstLineChars="200"/>
        <w:rPr>
          <w:rFonts w:ascii="宋体" w:hAnsi="宋体"/>
          <w:sz w:val="28"/>
          <w:szCs w:val="28"/>
        </w:rPr>
      </w:pPr>
      <w:r>
        <w:rPr>
          <w:rFonts w:hint="eastAsia" w:ascii="宋体" w:hAnsi="宋体"/>
          <w:sz w:val="28"/>
          <w:szCs w:val="28"/>
        </w:rPr>
        <w:t>人员培训费：1万元</w:t>
      </w:r>
    </w:p>
    <w:p w14:paraId="21D4DCFC">
      <w:pPr>
        <w:spacing w:line="500" w:lineRule="exact"/>
        <w:ind w:firstLine="560" w:firstLineChars="200"/>
        <w:rPr>
          <w:rFonts w:ascii="宋体" w:hAnsi="宋体"/>
          <w:sz w:val="28"/>
          <w:szCs w:val="28"/>
        </w:rPr>
      </w:pPr>
      <w:r>
        <w:rPr>
          <w:rFonts w:hint="eastAsia" w:ascii="宋体" w:hAnsi="宋体"/>
          <w:sz w:val="28"/>
          <w:szCs w:val="28"/>
        </w:rPr>
        <w:t>员工工伤保险：</w:t>
      </w:r>
      <w:r>
        <w:rPr>
          <w:rFonts w:hint="eastAsia" w:ascii="宋体" w:hAnsi="宋体"/>
          <w:sz w:val="28"/>
          <w:szCs w:val="28"/>
          <w:lang w:val="en-US" w:eastAsia="zh-CN"/>
        </w:rPr>
        <w:t>2</w:t>
      </w:r>
      <w:r>
        <w:rPr>
          <w:rFonts w:hint="eastAsia" w:ascii="宋体" w:hAnsi="宋体"/>
          <w:sz w:val="28"/>
          <w:szCs w:val="28"/>
        </w:rPr>
        <w:t>万元</w:t>
      </w:r>
    </w:p>
    <w:p w14:paraId="26C26C05">
      <w:pPr>
        <w:ind w:firstLine="560" w:firstLineChars="200"/>
        <w:rPr>
          <w:rFonts w:ascii="宋体" w:hAnsi="宋体"/>
          <w:sz w:val="28"/>
          <w:szCs w:val="28"/>
        </w:rPr>
      </w:pPr>
      <w:r>
        <w:rPr>
          <w:rFonts w:hint="eastAsia" w:ascii="宋体" w:hAnsi="宋体"/>
          <w:sz w:val="28"/>
          <w:szCs w:val="28"/>
        </w:rPr>
        <w:t>个人劳动防护用品：</w:t>
      </w:r>
      <w:r>
        <w:rPr>
          <w:rFonts w:hint="eastAsia" w:ascii="宋体" w:hAnsi="宋体"/>
          <w:sz w:val="28"/>
          <w:szCs w:val="28"/>
          <w:lang w:val="en-US" w:eastAsia="zh-CN"/>
        </w:rPr>
        <w:t>1</w:t>
      </w:r>
      <w:r>
        <w:rPr>
          <w:rFonts w:hint="eastAsia" w:ascii="宋体" w:hAnsi="宋体"/>
          <w:sz w:val="28"/>
          <w:szCs w:val="28"/>
        </w:rPr>
        <w:t>万元</w:t>
      </w:r>
    </w:p>
    <w:p w14:paraId="2D0FC849">
      <w:pPr>
        <w:pStyle w:val="4"/>
        <w:spacing w:afterLines="100" w:line="500" w:lineRule="exact"/>
        <w:jc w:val="center"/>
        <w:rPr>
          <w:rFonts w:ascii="楷体_GB2312" w:hAnsi="宋体" w:eastAsia="楷体_GB2312"/>
          <w:kern w:val="3"/>
        </w:rPr>
      </w:pPr>
      <w:bookmarkStart w:id="138" w:name="_Toc71894892"/>
      <w:r>
        <w:rPr>
          <w:rFonts w:hint="eastAsia" w:ascii="楷体_GB2312" w:hAnsi="宋体" w:eastAsia="楷体_GB2312"/>
          <w:kern w:val="3"/>
        </w:rPr>
        <w:t>2.10安全管理组织及制度</w:t>
      </w:r>
      <w:bookmarkEnd w:id="138"/>
    </w:p>
    <w:p w14:paraId="170F860C">
      <w:pPr>
        <w:pStyle w:val="4"/>
        <w:spacing w:afterLines="100" w:line="500" w:lineRule="exact"/>
        <w:rPr>
          <w:rFonts w:ascii="黑体" w:hAnsi="宋体"/>
          <w:kern w:val="3"/>
          <w:sz w:val="28"/>
          <w:szCs w:val="28"/>
        </w:rPr>
      </w:pPr>
      <w:bookmarkStart w:id="139" w:name="_Toc71894893"/>
      <w:r>
        <w:rPr>
          <w:rFonts w:hint="eastAsia" w:ascii="黑体" w:hAnsi="宋体"/>
          <w:kern w:val="3"/>
          <w:sz w:val="28"/>
          <w:szCs w:val="28"/>
        </w:rPr>
        <w:t>2.10.1</w:t>
      </w:r>
      <w:r>
        <w:rPr>
          <w:rFonts w:ascii="黑体" w:hAnsi="宋体"/>
          <w:kern w:val="3"/>
          <w:sz w:val="28"/>
          <w:szCs w:val="28"/>
        </w:rPr>
        <w:t>工作制度与劳动定员</w:t>
      </w:r>
      <w:bookmarkEnd w:id="139"/>
    </w:p>
    <w:p w14:paraId="5693483C">
      <w:pPr>
        <w:ind w:firstLine="560" w:firstLineChars="200"/>
        <w:rPr>
          <w:rFonts w:ascii="宋体" w:hAnsi="宋体"/>
          <w:sz w:val="28"/>
          <w:szCs w:val="28"/>
        </w:rPr>
      </w:pPr>
      <w:r>
        <w:rPr>
          <w:rFonts w:hint="eastAsia" w:ascii="宋体" w:hAnsi="宋体"/>
          <w:sz w:val="28"/>
          <w:szCs w:val="28"/>
        </w:rPr>
        <w:t>1.</w:t>
      </w:r>
      <w:r>
        <w:rPr>
          <w:rFonts w:ascii="宋体" w:hAnsi="宋体"/>
          <w:sz w:val="28"/>
          <w:szCs w:val="28"/>
        </w:rPr>
        <w:t>组织机构</w:t>
      </w:r>
    </w:p>
    <w:p w14:paraId="73A2E975">
      <w:pPr>
        <w:ind w:firstLine="560" w:firstLineChars="200"/>
        <w:rPr>
          <w:rFonts w:ascii="宋体" w:hAnsi="宋体"/>
          <w:sz w:val="28"/>
          <w:szCs w:val="28"/>
        </w:rPr>
      </w:pPr>
      <w:r>
        <w:rPr>
          <w:rFonts w:ascii="宋体" w:hAnsi="宋体"/>
          <w:sz w:val="28"/>
          <w:szCs w:val="28"/>
        </w:rPr>
        <w:t>加油站实行</w:t>
      </w:r>
      <w:r>
        <w:rPr>
          <w:rFonts w:hint="eastAsia" w:ascii="宋体" w:hAnsi="宋体"/>
          <w:sz w:val="28"/>
          <w:szCs w:val="28"/>
        </w:rPr>
        <w:t>主要负责人</w:t>
      </w:r>
      <w:r>
        <w:rPr>
          <w:rFonts w:ascii="宋体" w:hAnsi="宋体"/>
          <w:sz w:val="28"/>
          <w:szCs w:val="28"/>
        </w:rPr>
        <w:t>负责制，站长全面负责加油站的生产经营</w:t>
      </w:r>
      <w:r>
        <w:rPr>
          <w:rFonts w:hint="eastAsia" w:ascii="宋体" w:hAnsi="宋体"/>
          <w:sz w:val="28"/>
          <w:szCs w:val="28"/>
        </w:rPr>
        <w:t>和安全管理</w:t>
      </w:r>
      <w:r>
        <w:rPr>
          <w:rFonts w:ascii="宋体" w:hAnsi="宋体"/>
          <w:sz w:val="28"/>
          <w:szCs w:val="28"/>
        </w:rPr>
        <w:t>，</w:t>
      </w:r>
      <w:r>
        <w:rPr>
          <w:rFonts w:hint="eastAsia" w:ascii="宋体" w:hAnsi="宋体"/>
          <w:sz w:val="28"/>
          <w:szCs w:val="28"/>
        </w:rPr>
        <w:t>设</w:t>
      </w:r>
      <w:r>
        <w:rPr>
          <w:rFonts w:ascii="宋体" w:hAnsi="宋体"/>
          <w:sz w:val="28"/>
          <w:szCs w:val="28"/>
        </w:rPr>
        <w:t>安全员1名，负责加油站日常安全工作。</w:t>
      </w:r>
    </w:p>
    <w:p w14:paraId="62859E0C">
      <w:pPr>
        <w:ind w:firstLine="560" w:firstLineChars="200"/>
        <w:rPr>
          <w:rFonts w:ascii="宋体" w:hAnsi="宋体"/>
          <w:sz w:val="28"/>
          <w:szCs w:val="28"/>
        </w:rPr>
      </w:pPr>
      <w:bookmarkStart w:id="140" w:name="_Toc433992353"/>
      <w:bookmarkStart w:id="141" w:name="_Toc438040906"/>
      <w:bookmarkStart w:id="142" w:name="_Toc489629022"/>
      <w:bookmarkStart w:id="143" w:name="_Toc420403870"/>
      <w:bookmarkStart w:id="144" w:name="_Toc424306001"/>
      <w:bookmarkStart w:id="145" w:name="_Toc424306252"/>
      <w:r>
        <w:rPr>
          <w:rFonts w:hint="eastAsia" w:ascii="宋体" w:hAnsi="宋体"/>
          <w:sz w:val="28"/>
          <w:szCs w:val="28"/>
        </w:rPr>
        <w:t>2.</w:t>
      </w:r>
      <w:r>
        <w:rPr>
          <w:rFonts w:ascii="宋体" w:hAnsi="宋体"/>
          <w:sz w:val="28"/>
          <w:szCs w:val="28"/>
        </w:rPr>
        <w:t>工作制度与劳动定员</w:t>
      </w:r>
      <w:bookmarkEnd w:id="140"/>
      <w:bookmarkEnd w:id="141"/>
      <w:bookmarkEnd w:id="142"/>
      <w:bookmarkEnd w:id="143"/>
      <w:bookmarkEnd w:id="144"/>
      <w:bookmarkEnd w:id="145"/>
    </w:p>
    <w:p w14:paraId="02344E37">
      <w:pPr>
        <w:ind w:firstLine="560" w:firstLineChars="200"/>
        <w:rPr>
          <w:rFonts w:ascii="宋体" w:hAnsi="宋体"/>
          <w:sz w:val="28"/>
          <w:szCs w:val="28"/>
        </w:rPr>
      </w:pPr>
      <w:r>
        <w:rPr>
          <w:rFonts w:ascii="宋体" w:hAnsi="宋体"/>
          <w:sz w:val="28"/>
          <w:szCs w:val="28"/>
        </w:rPr>
        <w:t>加油站年</w:t>
      </w:r>
      <w:r>
        <w:rPr>
          <w:rFonts w:hint="eastAsia" w:ascii="宋体" w:hAnsi="宋体"/>
          <w:sz w:val="28"/>
          <w:szCs w:val="28"/>
        </w:rPr>
        <w:t>工作</w:t>
      </w:r>
      <w:r>
        <w:rPr>
          <w:rFonts w:ascii="宋体" w:hAnsi="宋体"/>
          <w:sz w:val="28"/>
          <w:szCs w:val="28"/>
        </w:rPr>
        <w:t>360日，定员</w:t>
      </w:r>
      <w:r>
        <w:rPr>
          <w:rFonts w:hint="eastAsia" w:ascii="宋体" w:hAnsi="宋体"/>
          <w:sz w:val="28"/>
          <w:szCs w:val="28"/>
          <w:lang w:val="en-US" w:eastAsia="zh-CN"/>
        </w:rPr>
        <w:t>6</w:t>
      </w:r>
      <w:r>
        <w:rPr>
          <w:rFonts w:ascii="宋体" w:hAnsi="宋体"/>
          <w:sz w:val="28"/>
          <w:szCs w:val="28"/>
        </w:rPr>
        <w:t>人</w:t>
      </w:r>
      <w:r>
        <w:rPr>
          <w:rFonts w:hint="eastAsia" w:ascii="宋体" w:hAnsi="宋体"/>
          <w:sz w:val="28"/>
          <w:szCs w:val="28"/>
        </w:rPr>
        <w:t>，</w:t>
      </w:r>
      <w:r>
        <w:rPr>
          <w:rFonts w:ascii="宋体" w:hAnsi="宋体"/>
          <w:sz w:val="28"/>
          <w:szCs w:val="28"/>
        </w:rPr>
        <w:t>分</w:t>
      </w:r>
      <w:r>
        <w:rPr>
          <w:rFonts w:hint="eastAsia" w:ascii="宋体" w:hAnsi="宋体"/>
          <w:sz w:val="28"/>
          <w:szCs w:val="28"/>
        </w:rPr>
        <w:t>二</w:t>
      </w:r>
      <w:r>
        <w:rPr>
          <w:rFonts w:ascii="宋体" w:hAnsi="宋体"/>
          <w:sz w:val="28"/>
          <w:szCs w:val="28"/>
        </w:rPr>
        <w:t>班营业</w:t>
      </w:r>
      <w:r>
        <w:rPr>
          <w:rFonts w:hint="eastAsia" w:ascii="宋体" w:hAnsi="宋体"/>
          <w:sz w:val="28"/>
          <w:szCs w:val="28"/>
        </w:rPr>
        <w:t>。</w:t>
      </w:r>
    </w:p>
    <w:p w14:paraId="69C94FF3">
      <w:pPr>
        <w:ind w:firstLine="560" w:firstLineChars="200"/>
        <w:rPr>
          <w:rFonts w:ascii="宋体" w:hAnsi="宋体"/>
          <w:sz w:val="28"/>
          <w:szCs w:val="28"/>
        </w:rPr>
      </w:pPr>
      <w:bookmarkStart w:id="146" w:name="_Toc420403871"/>
      <w:bookmarkStart w:id="147" w:name="_Toc424306253"/>
      <w:bookmarkStart w:id="148" w:name="_Toc424306002"/>
      <w:bookmarkStart w:id="149" w:name="_Toc433992354"/>
      <w:bookmarkStart w:id="150" w:name="_Toc438040907"/>
      <w:r>
        <w:rPr>
          <w:rFonts w:hint="eastAsia" w:ascii="宋体" w:hAnsi="宋体"/>
          <w:sz w:val="28"/>
          <w:szCs w:val="28"/>
        </w:rPr>
        <w:t>3.安全管理人员、特种作业人员取证上岗</w:t>
      </w:r>
      <w:r>
        <w:rPr>
          <w:rFonts w:ascii="宋体" w:hAnsi="宋体"/>
          <w:sz w:val="28"/>
          <w:szCs w:val="28"/>
        </w:rPr>
        <w:t>及安全培训教育</w:t>
      </w:r>
      <w:r>
        <w:rPr>
          <w:rFonts w:hint="eastAsia" w:ascii="宋体" w:hAnsi="宋体"/>
          <w:sz w:val="28"/>
          <w:szCs w:val="28"/>
        </w:rPr>
        <w:t>情况</w:t>
      </w:r>
      <w:bookmarkEnd w:id="146"/>
      <w:bookmarkEnd w:id="147"/>
      <w:bookmarkEnd w:id="148"/>
      <w:bookmarkEnd w:id="149"/>
      <w:bookmarkEnd w:id="150"/>
    </w:p>
    <w:p w14:paraId="4F92CF0C">
      <w:pPr>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定员</w:t>
      </w:r>
      <w:r>
        <w:rPr>
          <w:rFonts w:hint="eastAsia" w:ascii="宋体" w:hAnsi="宋体"/>
          <w:sz w:val="28"/>
          <w:szCs w:val="28"/>
          <w:lang w:val="en-US" w:eastAsia="zh-CN"/>
        </w:rPr>
        <w:t>6人</w:t>
      </w:r>
      <w:r>
        <w:rPr>
          <w:rFonts w:hint="eastAsia" w:ascii="宋体" w:hAnsi="宋体"/>
          <w:sz w:val="28"/>
          <w:szCs w:val="28"/>
        </w:rPr>
        <w:t>，其中</w:t>
      </w:r>
      <w:r>
        <w:rPr>
          <w:rFonts w:hint="eastAsia" w:ascii="宋体" w:hAnsi="宋体"/>
          <w:sz w:val="28"/>
          <w:szCs w:val="28"/>
          <w:lang w:val="en-US" w:eastAsia="zh-CN"/>
        </w:rPr>
        <w:t>肖建辉</w:t>
      </w:r>
      <w:r>
        <w:rPr>
          <w:rFonts w:hint="eastAsia" w:ascii="宋体" w:hAnsi="宋体"/>
          <w:sz w:val="28"/>
          <w:szCs w:val="28"/>
        </w:rPr>
        <w:t>为加油站主要负责人，</w:t>
      </w:r>
      <w:r>
        <w:rPr>
          <w:rFonts w:hint="eastAsia" w:ascii="宋体" w:hAnsi="宋体"/>
          <w:sz w:val="28"/>
          <w:szCs w:val="28"/>
          <w:lang w:val="en-US" w:eastAsia="zh-CN"/>
        </w:rPr>
        <w:t>陈海洪</w:t>
      </w:r>
      <w:r>
        <w:rPr>
          <w:rFonts w:hint="eastAsia" w:ascii="宋体" w:hAnsi="宋体"/>
          <w:sz w:val="28"/>
          <w:szCs w:val="28"/>
        </w:rPr>
        <w:t>为加油</w:t>
      </w:r>
      <w:r>
        <w:rPr>
          <w:rFonts w:ascii="宋体" w:hAnsi="宋体"/>
          <w:sz w:val="28"/>
          <w:szCs w:val="28"/>
        </w:rPr>
        <w:t>站安全员。</w:t>
      </w:r>
      <w:r>
        <w:rPr>
          <w:rFonts w:hint="eastAsia" w:ascii="宋体" w:hAnsi="宋体"/>
          <w:sz w:val="28"/>
          <w:szCs w:val="28"/>
        </w:rPr>
        <w:t>主要负责人及安全员已持证上岗。</w:t>
      </w:r>
    </w:p>
    <w:p w14:paraId="61B2135C">
      <w:pPr>
        <w:spacing w:line="500" w:lineRule="exact"/>
        <w:ind w:firstLine="537" w:firstLineChars="192"/>
        <w:jc w:val="center"/>
        <w:rPr>
          <w:rFonts w:ascii="宋体" w:hAnsi="宋体"/>
          <w:sz w:val="28"/>
          <w:szCs w:val="28"/>
        </w:rPr>
      </w:pPr>
      <w:r>
        <w:rPr>
          <w:rFonts w:hint="eastAsia" w:ascii="宋体" w:hAnsi="宋体"/>
          <w:sz w:val="28"/>
          <w:szCs w:val="28"/>
        </w:rPr>
        <w:t>表2-6 加油站人员持证情况表</w:t>
      </w:r>
    </w:p>
    <w:tbl>
      <w:tblPr>
        <w:tblStyle w:val="33"/>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905"/>
        <w:gridCol w:w="1353"/>
        <w:gridCol w:w="2247"/>
        <w:gridCol w:w="1277"/>
        <w:gridCol w:w="2138"/>
      </w:tblGrid>
      <w:tr w14:paraId="65BE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51B1E05F">
            <w:pPr>
              <w:spacing w:line="360" w:lineRule="auto"/>
              <w:jc w:val="center"/>
              <w:rPr>
                <w:rFonts w:ascii="宋体" w:hAnsi="宋体"/>
                <w:szCs w:val="21"/>
              </w:rPr>
            </w:pPr>
            <w:r>
              <w:rPr>
                <w:rFonts w:ascii="宋体" w:hAnsi="宋体"/>
                <w:szCs w:val="21"/>
              </w:rPr>
              <w:t>序号</w:t>
            </w:r>
          </w:p>
        </w:tc>
        <w:tc>
          <w:tcPr>
            <w:tcW w:w="905" w:type="dxa"/>
            <w:vAlign w:val="center"/>
          </w:tcPr>
          <w:p w14:paraId="04B80E75">
            <w:pPr>
              <w:spacing w:line="360" w:lineRule="auto"/>
              <w:jc w:val="center"/>
              <w:rPr>
                <w:rFonts w:ascii="宋体" w:hAnsi="宋体"/>
                <w:szCs w:val="21"/>
              </w:rPr>
            </w:pPr>
            <w:r>
              <w:rPr>
                <w:rFonts w:ascii="宋体" w:hAnsi="宋体"/>
                <w:szCs w:val="21"/>
              </w:rPr>
              <w:t>姓名</w:t>
            </w:r>
          </w:p>
        </w:tc>
        <w:tc>
          <w:tcPr>
            <w:tcW w:w="1353" w:type="dxa"/>
            <w:vAlign w:val="center"/>
          </w:tcPr>
          <w:p w14:paraId="72DD58C2">
            <w:pPr>
              <w:spacing w:line="360" w:lineRule="auto"/>
              <w:jc w:val="center"/>
              <w:rPr>
                <w:rFonts w:ascii="宋体" w:hAnsi="宋体"/>
                <w:szCs w:val="21"/>
              </w:rPr>
            </w:pPr>
            <w:r>
              <w:rPr>
                <w:rFonts w:ascii="宋体" w:hAnsi="宋体"/>
                <w:szCs w:val="21"/>
              </w:rPr>
              <w:t>职 务</w:t>
            </w:r>
          </w:p>
        </w:tc>
        <w:tc>
          <w:tcPr>
            <w:tcW w:w="2247" w:type="dxa"/>
            <w:vAlign w:val="center"/>
          </w:tcPr>
          <w:p w14:paraId="6BA168B1">
            <w:pPr>
              <w:spacing w:line="360" w:lineRule="auto"/>
              <w:jc w:val="center"/>
              <w:rPr>
                <w:rFonts w:ascii="宋体" w:hAnsi="宋体"/>
                <w:szCs w:val="21"/>
              </w:rPr>
            </w:pPr>
            <w:r>
              <w:rPr>
                <w:rFonts w:ascii="宋体" w:hAnsi="宋体"/>
                <w:szCs w:val="21"/>
              </w:rPr>
              <w:t>证书类别及</w:t>
            </w:r>
            <w:r>
              <w:rPr>
                <w:rFonts w:hint="eastAsia" w:ascii="宋体" w:hAnsi="宋体"/>
                <w:szCs w:val="21"/>
              </w:rPr>
              <w:t>编</w:t>
            </w:r>
            <w:r>
              <w:rPr>
                <w:rFonts w:ascii="宋体" w:hAnsi="宋体"/>
                <w:szCs w:val="21"/>
              </w:rPr>
              <w:t>号</w:t>
            </w:r>
          </w:p>
        </w:tc>
        <w:tc>
          <w:tcPr>
            <w:tcW w:w="1277" w:type="dxa"/>
            <w:vAlign w:val="center"/>
          </w:tcPr>
          <w:p w14:paraId="27141CE4">
            <w:pPr>
              <w:spacing w:line="360" w:lineRule="auto"/>
              <w:jc w:val="center"/>
              <w:rPr>
                <w:rFonts w:ascii="宋体" w:hAnsi="宋体"/>
                <w:szCs w:val="21"/>
              </w:rPr>
            </w:pPr>
            <w:r>
              <w:rPr>
                <w:rFonts w:ascii="宋体" w:hAnsi="宋体"/>
                <w:szCs w:val="21"/>
              </w:rPr>
              <w:t>有效期</w:t>
            </w:r>
          </w:p>
        </w:tc>
        <w:tc>
          <w:tcPr>
            <w:tcW w:w="2138" w:type="dxa"/>
            <w:vAlign w:val="center"/>
          </w:tcPr>
          <w:p w14:paraId="3B4583CD">
            <w:pPr>
              <w:spacing w:line="360" w:lineRule="auto"/>
              <w:jc w:val="center"/>
              <w:rPr>
                <w:rFonts w:ascii="宋体" w:hAnsi="宋体"/>
                <w:szCs w:val="21"/>
              </w:rPr>
            </w:pPr>
            <w:r>
              <w:rPr>
                <w:rFonts w:ascii="宋体" w:hAnsi="宋体"/>
                <w:szCs w:val="21"/>
              </w:rPr>
              <w:t>发证单位</w:t>
            </w:r>
          </w:p>
        </w:tc>
      </w:tr>
      <w:tr w14:paraId="4A03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6E44469B">
            <w:pPr>
              <w:spacing w:line="360" w:lineRule="auto"/>
              <w:jc w:val="center"/>
              <w:rPr>
                <w:rFonts w:hint="eastAsia" w:ascii="宋体" w:hAnsi="宋体" w:eastAsia="宋体"/>
                <w:szCs w:val="21"/>
                <w:lang w:val="en-US" w:eastAsia="zh-CN"/>
              </w:rPr>
            </w:pPr>
            <w:r>
              <w:rPr>
                <w:rFonts w:hint="eastAsia" w:ascii="宋体" w:hAnsi="宋体"/>
                <w:szCs w:val="21"/>
                <w:lang w:val="en-US" w:eastAsia="zh-CN"/>
              </w:rPr>
              <w:t>1</w:t>
            </w:r>
          </w:p>
        </w:tc>
        <w:tc>
          <w:tcPr>
            <w:tcW w:w="905" w:type="dxa"/>
            <w:vAlign w:val="center"/>
          </w:tcPr>
          <w:p w14:paraId="344E0217">
            <w:pPr>
              <w:spacing w:line="360" w:lineRule="auto"/>
              <w:jc w:val="center"/>
              <w:rPr>
                <w:rFonts w:hint="default" w:ascii="宋体" w:hAnsi="宋体" w:eastAsia="宋体"/>
                <w:color w:val="000000" w:themeColor="text1"/>
                <w:szCs w:val="21"/>
                <w:lang w:val="en-US" w:eastAsia="zh-CN"/>
              </w:rPr>
            </w:pPr>
            <w:r>
              <w:rPr>
                <w:rFonts w:hint="eastAsia" w:ascii="宋体" w:hAnsi="宋体"/>
                <w:color w:val="000000" w:themeColor="text1"/>
                <w:szCs w:val="21"/>
                <w:lang w:val="en-US" w:eastAsia="zh-CN"/>
              </w:rPr>
              <w:t>肖建辉</w:t>
            </w:r>
          </w:p>
        </w:tc>
        <w:tc>
          <w:tcPr>
            <w:tcW w:w="1353" w:type="dxa"/>
            <w:vAlign w:val="center"/>
          </w:tcPr>
          <w:p w14:paraId="7B68790F">
            <w:pPr>
              <w:spacing w:line="360" w:lineRule="auto"/>
              <w:jc w:val="center"/>
              <w:rPr>
                <w:rFonts w:hint="eastAsia" w:ascii="宋体" w:hAnsi="宋体" w:eastAsia="宋体"/>
                <w:color w:val="000000" w:themeColor="text1"/>
                <w:szCs w:val="21"/>
                <w:lang w:val="en-US" w:eastAsia="zh-CN"/>
              </w:rPr>
            </w:pPr>
            <w:r>
              <w:rPr>
                <w:rFonts w:hint="eastAsia" w:ascii="宋体" w:hAnsi="宋体"/>
                <w:color w:val="000000" w:themeColor="text1"/>
                <w:szCs w:val="21"/>
              </w:rPr>
              <w:t>主要负责人</w:t>
            </w:r>
          </w:p>
        </w:tc>
        <w:tc>
          <w:tcPr>
            <w:tcW w:w="2247" w:type="dxa"/>
            <w:vAlign w:val="center"/>
          </w:tcPr>
          <w:p w14:paraId="5528E715">
            <w:pPr>
              <w:spacing w:line="360" w:lineRule="auto"/>
              <w:jc w:val="center"/>
              <w:rPr>
                <w:rFonts w:hint="default" w:ascii="宋体" w:hAnsi="宋体" w:eastAsia="宋体"/>
                <w:szCs w:val="21"/>
                <w:lang w:val="en-US" w:eastAsia="zh-CN"/>
              </w:rPr>
            </w:pPr>
            <w:r>
              <w:rPr>
                <w:rFonts w:hint="eastAsia" w:ascii="宋体" w:hAnsi="宋体"/>
                <w:szCs w:val="21"/>
                <w:lang w:val="en-US" w:eastAsia="zh-CN"/>
              </w:rPr>
              <w:t>35032219831220189X</w:t>
            </w:r>
          </w:p>
        </w:tc>
        <w:tc>
          <w:tcPr>
            <w:tcW w:w="1277" w:type="dxa"/>
            <w:vAlign w:val="center"/>
          </w:tcPr>
          <w:p w14:paraId="42EDF291">
            <w:pPr>
              <w:spacing w:line="360" w:lineRule="auto"/>
              <w:jc w:val="center"/>
              <w:rPr>
                <w:rFonts w:hint="default" w:ascii="宋体" w:hAnsi="宋体"/>
                <w:szCs w:val="21"/>
                <w:lang w:val="en-US"/>
              </w:rPr>
            </w:pPr>
            <w:r>
              <w:rPr>
                <w:rFonts w:hint="eastAsia" w:ascii="宋体" w:hAnsi="宋体"/>
                <w:szCs w:val="21"/>
              </w:rPr>
              <w:t>202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23</w:t>
            </w:r>
          </w:p>
        </w:tc>
        <w:tc>
          <w:tcPr>
            <w:tcW w:w="2138" w:type="dxa"/>
            <w:vAlign w:val="center"/>
          </w:tcPr>
          <w:p w14:paraId="1EABFB30">
            <w:pPr>
              <w:spacing w:line="360" w:lineRule="auto"/>
              <w:jc w:val="center"/>
              <w:rPr>
                <w:rFonts w:hint="default" w:ascii="宋体" w:hAnsi="宋体" w:eastAsia="宋体"/>
                <w:szCs w:val="21"/>
                <w:lang w:val="en-US" w:eastAsia="zh-CN"/>
              </w:rPr>
            </w:pPr>
            <w:r>
              <w:rPr>
                <w:rFonts w:hint="eastAsia" w:ascii="宋体" w:hAnsi="宋体"/>
                <w:szCs w:val="21"/>
                <w:lang w:val="en-US" w:eastAsia="zh-CN"/>
              </w:rPr>
              <w:t>丽江市应急管理</w:t>
            </w:r>
            <w:r>
              <w:rPr>
                <w:rFonts w:hint="eastAsia" w:ascii="宋体" w:hAnsi="宋体"/>
                <w:szCs w:val="21"/>
              </w:rPr>
              <w:t>局</w:t>
            </w:r>
          </w:p>
        </w:tc>
      </w:tr>
      <w:tr w14:paraId="2B3B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5B9F569F">
            <w:pPr>
              <w:spacing w:line="300" w:lineRule="exact"/>
              <w:jc w:val="center"/>
              <w:rPr>
                <w:rFonts w:hint="eastAsia" w:ascii="宋体" w:hAnsi="宋体" w:eastAsia="宋体"/>
                <w:szCs w:val="21"/>
                <w:lang w:val="en-US" w:eastAsia="zh-CN"/>
              </w:rPr>
            </w:pPr>
            <w:r>
              <w:rPr>
                <w:rFonts w:hint="eastAsia" w:ascii="宋体" w:hAnsi="宋体"/>
                <w:szCs w:val="21"/>
                <w:lang w:val="en-US" w:eastAsia="zh-CN"/>
              </w:rPr>
              <w:t>2</w:t>
            </w:r>
          </w:p>
        </w:tc>
        <w:tc>
          <w:tcPr>
            <w:tcW w:w="905" w:type="dxa"/>
            <w:vAlign w:val="center"/>
          </w:tcPr>
          <w:p w14:paraId="51592F59">
            <w:pPr>
              <w:spacing w:line="360" w:lineRule="auto"/>
              <w:jc w:val="center"/>
              <w:rPr>
                <w:rFonts w:hint="default" w:ascii="宋体" w:hAnsi="宋体" w:eastAsia="宋体"/>
                <w:color w:val="000000" w:themeColor="text1"/>
                <w:szCs w:val="21"/>
                <w:lang w:val="en-US" w:eastAsia="zh-CN"/>
              </w:rPr>
            </w:pPr>
            <w:r>
              <w:rPr>
                <w:rFonts w:hint="eastAsia" w:ascii="宋体" w:hAnsi="宋体"/>
                <w:color w:val="000000" w:themeColor="text1"/>
                <w:szCs w:val="21"/>
                <w:lang w:val="en-US" w:eastAsia="zh-CN"/>
              </w:rPr>
              <w:t>陈海洪</w:t>
            </w:r>
          </w:p>
        </w:tc>
        <w:tc>
          <w:tcPr>
            <w:tcW w:w="1353" w:type="dxa"/>
            <w:vAlign w:val="center"/>
          </w:tcPr>
          <w:p w14:paraId="4095438E">
            <w:pPr>
              <w:spacing w:line="360" w:lineRule="auto"/>
              <w:jc w:val="center"/>
              <w:rPr>
                <w:rFonts w:hint="eastAsia" w:ascii="宋体" w:hAnsi="宋体" w:eastAsia="宋体"/>
                <w:color w:val="000000" w:themeColor="text1"/>
                <w:szCs w:val="21"/>
                <w:lang w:eastAsia="zh-CN"/>
              </w:rPr>
            </w:pPr>
            <w:r>
              <w:rPr>
                <w:rFonts w:hint="eastAsia" w:ascii="宋体" w:hAnsi="宋体"/>
                <w:color w:val="000000" w:themeColor="text1"/>
                <w:szCs w:val="21"/>
              </w:rPr>
              <w:t>安全员</w:t>
            </w:r>
          </w:p>
        </w:tc>
        <w:tc>
          <w:tcPr>
            <w:tcW w:w="2247" w:type="dxa"/>
            <w:vAlign w:val="center"/>
          </w:tcPr>
          <w:p w14:paraId="71870030">
            <w:pPr>
              <w:jc w:val="center"/>
              <w:rPr>
                <w:rFonts w:hint="default" w:ascii="宋体" w:hAnsi="宋体" w:eastAsia="宋体"/>
                <w:szCs w:val="21"/>
                <w:lang w:val="en-US" w:eastAsia="zh-CN"/>
              </w:rPr>
            </w:pPr>
            <w:r>
              <w:rPr>
                <w:rFonts w:hint="eastAsia" w:ascii="宋体" w:hAnsi="宋体"/>
                <w:szCs w:val="21"/>
              </w:rPr>
              <w:t>3503</w:t>
            </w:r>
            <w:r>
              <w:rPr>
                <w:rFonts w:hint="eastAsia" w:ascii="宋体" w:hAnsi="宋体"/>
                <w:szCs w:val="21"/>
                <w:lang w:val="en-US" w:eastAsia="zh-CN"/>
              </w:rPr>
              <w:t>01199012292113</w:t>
            </w:r>
          </w:p>
        </w:tc>
        <w:tc>
          <w:tcPr>
            <w:tcW w:w="1277" w:type="dxa"/>
            <w:vAlign w:val="center"/>
          </w:tcPr>
          <w:p w14:paraId="234E4A36">
            <w:pPr>
              <w:spacing w:line="300" w:lineRule="exact"/>
              <w:jc w:val="center"/>
              <w:rPr>
                <w:rFonts w:hint="default" w:ascii="宋体" w:hAnsi="宋体" w:eastAsia="宋体"/>
                <w:szCs w:val="21"/>
                <w:lang w:val="en-US" w:eastAsia="zh-CN"/>
              </w:rPr>
            </w:pPr>
            <w:r>
              <w:rPr>
                <w:rFonts w:hint="eastAsia" w:ascii="宋体" w:hAnsi="宋体"/>
                <w:szCs w:val="21"/>
              </w:rPr>
              <w:t>202</w:t>
            </w: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27</w:t>
            </w:r>
          </w:p>
        </w:tc>
        <w:tc>
          <w:tcPr>
            <w:tcW w:w="2138" w:type="dxa"/>
            <w:vAlign w:val="center"/>
          </w:tcPr>
          <w:p w14:paraId="4B12D6E2">
            <w:pPr>
              <w:spacing w:line="300" w:lineRule="exact"/>
              <w:jc w:val="center"/>
              <w:rPr>
                <w:rFonts w:ascii="宋体" w:hAnsi="宋体"/>
                <w:szCs w:val="21"/>
              </w:rPr>
            </w:pPr>
            <w:r>
              <w:rPr>
                <w:rFonts w:hint="eastAsia" w:ascii="宋体" w:hAnsi="宋体"/>
                <w:szCs w:val="21"/>
                <w:lang w:val="en-US" w:eastAsia="zh-CN"/>
              </w:rPr>
              <w:t>通化</w:t>
            </w:r>
            <w:r>
              <w:rPr>
                <w:rFonts w:hint="eastAsia" w:ascii="宋体" w:hAnsi="宋体"/>
                <w:szCs w:val="21"/>
              </w:rPr>
              <w:t>市应急管理局</w:t>
            </w:r>
          </w:p>
        </w:tc>
      </w:tr>
    </w:tbl>
    <w:p w14:paraId="6F4529CD">
      <w:pPr>
        <w:ind w:firstLine="560" w:firstLineChars="200"/>
        <w:rPr>
          <w:rFonts w:ascii="宋体" w:hAnsi="宋体"/>
          <w:sz w:val="28"/>
          <w:szCs w:val="28"/>
        </w:rPr>
      </w:pPr>
      <w:r>
        <w:rPr>
          <w:rFonts w:ascii="宋体" w:hAnsi="宋体"/>
          <w:sz w:val="28"/>
          <w:szCs w:val="28"/>
        </w:rPr>
        <w:t>加油站设立</w:t>
      </w:r>
      <w:r>
        <w:rPr>
          <w:rFonts w:hint="eastAsia" w:ascii="宋体" w:hAnsi="宋体"/>
          <w:sz w:val="28"/>
          <w:szCs w:val="28"/>
        </w:rPr>
        <w:t>了由全体员工参加，主要负责人负责的</w:t>
      </w:r>
      <w:r>
        <w:rPr>
          <w:rFonts w:ascii="宋体" w:hAnsi="宋体"/>
          <w:sz w:val="28"/>
          <w:szCs w:val="28"/>
        </w:rPr>
        <w:t>安全领导小组</w:t>
      </w:r>
      <w:r>
        <w:rPr>
          <w:rFonts w:hint="eastAsia" w:ascii="宋体" w:hAnsi="宋体"/>
          <w:sz w:val="28"/>
          <w:szCs w:val="28"/>
        </w:rPr>
        <w:t>和</w:t>
      </w:r>
      <w:r>
        <w:rPr>
          <w:rFonts w:ascii="宋体" w:hAnsi="宋体"/>
          <w:sz w:val="28"/>
          <w:szCs w:val="28"/>
        </w:rPr>
        <w:t>义务消防队</w:t>
      </w:r>
      <w:r>
        <w:rPr>
          <w:rFonts w:hint="eastAsia" w:ascii="宋体" w:hAnsi="宋体"/>
          <w:sz w:val="28"/>
          <w:szCs w:val="28"/>
        </w:rPr>
        <w:t>；</w:t>
      </w:r>
      <w:r>
        <w:rPr>
          <w:rFonts w:ascii="宋体" w:hAnsi="宋体"/>
          <w:sz w:val="28"/>
          <w:szCs w:val="28"/>
        </w:rPr>
        <w:t>有比较完善的安全管理制度</w:t>
      </w:r>
      <w:r>
        <w:rPr>
          <w:rFonts w:hint="eastAsia" w:ascii="宋体" w:hAnsi="宋体"/>
          <w:sz w:val="28"/>
          <w:szCs w:val="28"/>
        </w:rPr>
        <w:t>；主要负责人及安全员</w:t>
      </w:r>
      <w:r>
        <w:rPr>
          <w:rFonts w:ascii="宋体" w:hAnsi="宋体"/>
          <w:sz w:val="28"/>
          <w:szCs w:val="28"/>
        </w:rPr>
        <w:t>参加</w:t>
      </w:r>
      <w:r>
        <w:rPr>
          <w:rFonts w:hint="eastAsia" w:ascii="宋体" w:hAnsi="宋体"/>
          <w:sz w:val="28"/>
          <w:szCs w:val="28"/>
        </w:rPr>
        <w:t>了</w:t>
      </w:r>
      <w:r>
        <w:rPr>
          <w:rFonts w:ascii="宋体" w:hAnsi="宋体"/>
          <w:sz w:val="28"/>
          <w:szCs w:val="28"/>
        </w:rPr>
        <w:t>培训</w:t>
      </w:r>
      <w:r>
        <w:rPr>
          <w:rFonts w:hint="eastAsia" w:ascii="宋体" w:hAnsi="宋体"/>
          <w:sz w:val="28"/>
          <w:szCs w:val="28"/>
        </w:rPr>
        <w:t>并取得安全管理资格证。站内无特种作业人员，加油站内进行电工作业时由外聘特种作业人员进行作业。</w:t>
      </w:r>
    </w:p>
    <w:p w14:paraId="51BD55D4">
      <w:pPr>
        <w:pStyle w:val="4"/>
        <w:spacing w:afterLines="100" w:line="500" w:lineRule="exact"/>
        <w:rPr>
          <w:rFonts w:ascii="黑体" w:hAnsi="宋体"/>
          <w:kern w:val="3"/>
          <w:sz w:val="28"/>
          <w:szCs w:val="28"/>
        </w:rPr>
      </w:pPr>
      <w:bookmarkStart w:id="151" w:name="_Toc71894894"/>
      <w:r>
        <w:rPr>
          <w:rFonts w:hint="eastAsia" w:ascii="黑体" w:hAnsi="宋体"/>
          <w:kern w:val="3"/>
          <w:sz w:val="28"/>
          <w:szCs w:val="28"/>
        </w:rPr>
        <w:t>2.10.2</w:t>
      </w:r>
      <w:r>
        <w:rPr>
          <w:rFonts w:ascii="黑体" w:hAnsi="宋体"/>
          <w:kern w:val="3"/>
          <w:sz w:val="28"/>
          <w:szCs w:val="28"/>
        </w:rPr>
        <w:t>安全生产管理机构及管理制度</w:t>
      </w:r>
      <w:bookmarkEnd w:id="151"/>
    </w:p>
    <w:p w14:paraId="4D022A98">
      <w:pPr>
        <w:ind w:firstLine="560" w:firstLineChars="200"/>
        <w:rPr>
          <w:rFonts w:ascii="宋体" w:hAnsi="宋体"/>
          <w:sz w:val="28"/>
          <w:szCs w:val="28"/>
        </w:rPr>
      </w:pPr>
      <w:r>
        <w:rPr>
          <w:rFonts w:hint="eastAsia" w:ascii="宋体" w:hAnsi="宋体"/>
          <w:sz w:val="28"/>
          <w:szCs w:val="28"/>
        </w:rPr>
        <w:t>为保障企业的安全生产，贯彻“安全第一、预防为主、综合治理”的方针，根据《安全生产法》的规定，结合自身实际情况，设立了以加油站主要负责人及安全员组成的安全生产领导小组，并任命了专职安全员。同时，加油站制定了安全生产管理制度、操作规程等，加油站在生产过程中严格执行规章制度，保障生产安全。</w:t>
      </w:r>
    </w:p>
    <w:p w14:paraId="593BB73A">
      <w:pPr>
        <w:numPr>
          <w:ilvl w:val="0"/>
          <w:numId w:val="7"/>
        </w:numPr>
        <w:spacing w:line="500" w:lineRule="exact"/>
        <w:rPr>
          <w:rFonts w:ascii="宋体" w:hAnsi="宋体"/>
          <w:b/>
          <w:sz w:val="28"/>
        </w:rPr>
      </w:pPr>
      <w:r>
        <w:rPr>
          <w:rFonts w:ascii="宋体" w:hAnsi="宋体"/>
          <w:b/>
          <w:sz w:val="28"/>
        </w:rPr>
        <w:t>安全管理网络图</w:t>
      </w:r>
    </w:p>
    <w:p w14:paraId="1C65A1EF">
      <w:pPr>
        <w:ind w:firstLine="420" w:firstLineChars="200"/>
        <w:rPr>
          <w:rFonts w:ascii="宋体" w:hAnsi="宋体"/>
        </w:rPr>
      </w:pPr>
    </w:p>
    <w:p w14:paraId="0938F2D6">
      <w:pPr>
        <w:ind w:firstLine="420" w:firstLineChars="200"/>
        <w:rPr>
          <w:rFonts w:ascii="宋体" w:hAnsi="宋体"/>
        </w:rPr>
      </w:pPr>
    </w:p>
    <w:p w14:paraId="15E591FC">
      <w:pPr>
        <w:ind w:firstLine="420" w:firstLineChars="200"/>
        <w:rPr>
          <w:rFonts w:ascii="宋体" w:hAnsi="宋体"/>
        </w:rPr>
      </w:pPr>
    </w:p>
    <w:p w14:paraId="1DFECAD2">
      <w:pPr>
        <w:ind w:firstLine="420" w:firstLineChars="200"/>
        <w:rPr>
          <w:rFonts w:ascii="宋体" w:hAnsi="宋体"/>
        </w:rPr>
      </w:pPr>
      <w:r>
        <w:rPr>
          <w:rFonts w:ascii="宋体" w:hAnsi="宋体"/>
        </w:rPr>
        <w:pict>
          <v:rect id="矩形 62" o:spid="_x0000_s2235" o:spt="1" style="position:absolute;left:0pt;margin-left:135pt;margin-top:0.75pt;height:22.65pt;width:162pt;z-index:251660288;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qxnItYA&#10;AAAIAQAADwAAAAAAAAABACAAAAAiAAAAZHJzL2Rvd25yZXYueG1sUEsBAhQAFAAAAAgAh07iQPvQ&#10;MFnoAQAA3QMAAA4AAAAAAAAAAQAgAAAAJQEAAGRycy9lMm9Eb2MueG1sUEsFBgAAAAAGAAYAWQEA&#10;AH8FAAAAAA==&#10;">
            <v:path/>
            <v:fill focussize="0,0"/>
            <v:stroke/>
            <v:imagedata o:title=""/>
            <o:lock v:ext="edit"/>
            <v:textbox>
              <w:txbxContent>
                <w:p w14:paraId="7E2C1E7C">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rPr>
                  </w:pPr>
                  <w:r>
                    <w:rPr>
                      <w:rFonts w:hint="eastAsia" w:ascii="宋体" w:hAnsi="宋体" w:eastAsia="宋体"/>
                      <w:kern w:val="2"/>
                      <w:szCs w:val="24"/>
                    </w:rPr>
                    <w:t>加油站站长：</w:t>
                  </w:r>
                  <w:r>
                    <w:rPr>
                      <w:rFonts w:hint="eastAsia" w:ascii="宋体" w:hAnsi="宋体"/>
                      <w:szCs w:val="21"/>
                      <w:lang w:val="en-US" w:eastAsia="zh-CN"/>
                    </w:rPr>
                    <w:t>肖建辉</w:t>
                  </w:r>
                </w:p>
              </w:txbxContent>
            </v:textbox>
          </v:rect>
        </w:pict>
      </w:r>
    </w:p>
    <w:p w14:paraId="1869ABF0">
      <w:pPr>
        <w:ind w:firstLine="420" w:firstLineChars="200"/>
        <w:rPr>
          <w:rFonts w:ascii="宋体" w:hAnsi="宋体"/>
        </w:rPr>
      </w:pPr>
      <w:r>
        <w:rPr>
          <w:rFonts w:ascii="宋体" w:hAnsi="宋体"/>
        </w:rPr>
        <w:pict>
          <v:line id="直线 69" o:spid="_x0000_s2234" o:spt="20" style="position:absolute;left:0pt;margin-left:216pt;margin-top:7.8pt;height:23.4pt;width:0pt;z-index:251662336;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3bTedkAAAAJAQAADwAAAAAAAAABACAA&#10;AAAiAAAAZHJzL2Rvd25yZXYueG1sUEsBAhQAFAAAAAgAh07iQBsk3Q7TAQAAkgMAAA4AAAAAAAAA&#10;AQAgAAAAKAEAAGRycy9lMm9Eb2MueG1sUEsFBgAAAAAGAAYAWQEAAG0FAAAAAA==&#10;">
            <v:path arrowok="t"/>
            <v:fill focussize="0,0"/>
            <v:stroke endarrow="block"/>
            <v:imagedata o:title=""/>
            <o:lock v:ext="edit"/>
          </v:line>
        </w:pict>
      </w:r>
    </w:p>
    <w:p w14:paraId="1376CBC0">
      <w:pPr>
        <w:ind w:firstLine="420" w:firstLineChars="200"/>
        <w:rPr>
          <w:rFonts w:ascii="宋体" w:hAnsi="宋体"/>
        </w:rPr>
      </w:pPr>
    </w:p>
    <w:p w14:paraId="00D9EF13">
      <w:pPr>
        <w:ind w:firstLine="420" w:firstLineChars="200"/>
        <w:rPr>
          <w:rFonts w:ascii="宋体" w:hAnsi="宋体"/>
        </w:rPr>
      </w:pPr>
      <w:r>
        <w:rPr>
          <w:rFonts w:ascii="宋体" w:hAnsi="宋体"/>
        </w:rPr>
        <w:pict>
          <v:rect id="矩形 68" o:spid="_x0000_s2233" o:spt="1" style="position:absolute;left:0pt;margin-left:135pt;margin-top:0.75pt;height:22.65pt;width:162pt;z-index:251661312;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rGci1gAA&#10;AAgBAAAPAAAAAAAAAAEAIAAAACIAAABkcnMvZG93bnJldi54bWxQSwECFAAUAAAACACHTuJAgtXe&#10;cucBAADdAwAADgAAAAAAAAABACAAAAAlAQAAZHJzL2Uyb0RvYy54bWxQSwUGAAAAAAYABgBZAQAA&#10;fgUAAAAA&#10;">
            <v:path/>
            <v:fill focussize="0,0"/>
            <v:stroke/>
            <v:imagedata o:title=""/>
            <o:lock v:ext="edit"/>
            <v:textbox>
              <w:txbxContent>
                <w:p w14:paraId="41E8F6FD">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rPr>
                    <w:t>加油站安全员：</w:t>
                  </w:r>
                  <w:r>
                    <w:rPr>
                      <w:rFonts w:hint="eastAsia" w:ascii="宋体" w:hAnsi="宋体"/>
                      <w:szCs w:val="21"/>
                      <w:lang w:val="en-US" w:eastAsia="zh-CN"/>
                    </w:rPr>
                    <w:t>陈海洪</w:t>
                  </w:r>
                </w:p>
              </w:txbxContent>
            </v:textbox>
          </v:rect>
        </w:pict>
      </w:r>
    </w:p>
    <w:p w14:paraId="41775998">
      <w:pPr>
        <w:ind w:firstLine="420" w:firstLineChars="200"/>
        <w:rPr>
          <w:rFonts w:ascii="宋体" w:hAnsi="宋体"/>
        </w:rPr>
      </w:pPr>
      <w:r>
        <w:rPr>
          <w:rFonts w:ascii="宋体" w:hAnsi="宋体"/>
        </w:rPr>
        <w:pict>
          <v:line id="直线 71" o:spid="_x0000_s2232" o:spt="20" style="position:absolute;left:0pt;margin-left:216pt;margin-top:7.8pt;height:23.4pt;width:0pt;z-index:251664384;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t203nZAAAACQEAAA8AAAAAAAAAAQAg&#10;AAAAIgAAAGRycy9kb3ducmV2LnhtbFBLAQIUABQAAAAIAIdO4kCHOv8K1AEAAJIDAAAOAAAAAAAA&#10;AAEAIAAAACgBAABkcnMvZTJvRG9jLnhtbFBLBQYAAAAABgAGAFkBAABuBQAAAAA=&#10;">
            <v:path arrowok="t"/>
            <v:fill focussize="0,0"/>
            <v:stroke endarrow="block"/>
            <v:imagedata o:title=""/>
            <o:lock v:ext="edit"/>
          </v:line>
        </w:pict>
      </w:r>
    </w:p>
    <w:p w14:paraId="1AED7637">
      <w:pPr>
        <w:ind w:firstLine="420" w:firstLineChars="200"/>
        <w:rPr>
          <w:rFonts w:ascii="宋体" w:hAnsi="宋体"/>
        </w:rPr>
      </w:pPr>
    </w:p>
    <w:p w14:paraId="0E310ABE">
      <w:pPr>
        <w:rPr>
          <w:rFonts w:ascii="宋体" w:hAnsi="宋体"/>
        </w:rPr>
      </w:pPr>
      <w:r>
        <w:rPr>
          <w:rFonts w:ascii="宋体" w:hAnsi="宋体"/>
        </w:rPr>
        <w:pict>
          <v:rect id="矩形 70" o:spid="_x0000_s2231" o:spt="1" style="position:absolute;left:0pt;margin-left:135pt;margin-top:3pt;height:22.65pt;width:162pt;z-index:251663360;mso-width-relative:page;mso-height-relative:page;" coordsize="21600,21600" o:gfxdata="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u9xxv1gAA&#10;AAgBAAAPAAAAAAAAAAEAIAAAACIAAABkcnMvZG93bnJldi54bWxQSwECFAAUAAAACACHTuJAHPiW&#10;eOcBAADdAwAADgAAAAAAAAABACAAAAAlAQAAZHJzL2Uyb0RvYy54bWxQSwUGAAAAAAYABgBZAQAA&#10;fgUAAAAA&#10;">
            <v:path/>
            <v:fill focussize="0,0"/>
            <v:stroke/>
            <v:imagedata o:title=""/>
            <o:lock v:ext="edit"/>
            <v:textbox>
              <w:txbxContent>
                <w:p w14:paraId="602A54BE">
                  <w:pPr>
                    <w:pStyle w:val="60"/>
                    <w:keepNext w:val="0"/>
                    <w:widowControl w:val="0"/>
                    <w:overflowPunct/>
                    <w:adjustRightInd/>
                    <w:snapToGrid/>
                    <w:spacing w:before="0" w:after="0" w:line="240" w:lineRule="auto"/>
                    <w:textAlignment w:val="auto"/>
                    <w:rPr>
                      <w:rFonts w:ascii="宋体" w:hAnsi="宋体" w:eastAsia="宋体"/>
                      <w:kern w:val="2"/>
                      <w:szCs w:val="24"/>
                    </w:rPr>
                  </w:pPr>
                  <w:r>
                    <w:rPr>
                      <w:rFonts w:hint="eastAsia" w:ascii="宋体" w:hAnsi="宋体" w:eastAsia="宋体"/>
                      <w:kern w:val="2"/>
                      <w:szCs w:val="24"/>
                    </w:rPr>
                    <w:t>加油站全体工作人员</w:t>
                  </w:r>
                </w:p>
              </w:txbxContent>
            </v:textbox>
          </v:rect>
        </w:pict>
      </w:r>
    </w:p>
    <w:p w14:paraId="364D5FE3">
      <w:pPr>
        <w:rPr>
          <w:rFonts w:ascii="宋体" w:hAnsi="宋体"/>
        </w:rPr>
      </w:pPr>
    </w:p>
    <w:p w14:paraId="23741DF0">
      <w:pPr>
        <w:spacing w:line="500" w:lineRule="exact"/>
        <w:rPr>
          <w:rFonts w:ascii="宋体" w:hAnsi="宋体"/>
          <w:b/>
          <w:sz w:val="28"/>
        </w:rPr>
      </w:pPr>
      <w:r>
        <w:rPr>
          <w:rFonts w:hint="eastAsia" w:ascii="宋体" w:hAnsi="宋体"/>
          <w:b/>
          <w:sz w:val="28"/>
        </w:rPr>
        <w:t>2.</w:t>
      </w:r>
      <w:r>
        <w:rPr>
          <w:rFonts w:ascii="宋体" w:hAnsi="宋体"/>
          <w:b/>
          <w:sz w:val="28"/>
        </w:rPr>
        <w:t xml:space="preserve"> 安全管理职责分工</w:t>
      </w:r>
    </w:p>
    <w:p w14:paraId="5F73EC32">
      <w:pPr>
        <w:spacing w:line="500" w:lineRule="exact"/>
        <w:ind w:firstLine="537" w:firstLineChars="192"/>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lang w:eastAsia="zh-CN"/>
        </w:rPr>
        <w:t>盐津县豆沙狮子湾加油站</w:t>
      </w:r>
      <w:r>
        <w:rPr>
          <w:rFonts w:hint="eastAsia" w:ascii="宋体" w:hAnsi="宋体"/>
          <w:sz w:val="28"/>
          <w:szCs w:val="28"/>
        </w:rPr>
        <w:t>主要负责人：负责</w:t>
      </w:r>
      <w:r>
        <w:rPr>
          <w:rFonts w:hint="eastAsia" w:ascii="宋体" w:hAnsi="宋体"/>
          <w:sz w:val="28"/>
          <w:szCs w:val="28"/>
          <w:lang w:eastAsia="zh-CN"/>
        </w:rPr>
        <w:t>盐津县豆沙狮子湾加油站</w:t>
      </w:r>
      <w:r>
        <w:rPr>
          <w:rFonts w:hint="eastAsia" w:ascii="宋体" w:hAnsi="宋体"/>
          <w:sz w:val="28"/>
          <w:szCs w:val="28"/>
        </w:rPr>
        <w:t>的全面安全工作。</w:t>
      </w:r>
    </w:p>
    <w:p w14:paraId="5560C89E">
      <w:pPr>
        <w:spacing w:line="500" w:lineRule="exact"/>
        <w:ind w:firstLine="537" w:firstLineChars="192"/>
        <w:rPr>
          <w:rFonts w:ascii="宋体" w:hAnsi="宋体"/>
          <w:sz w:val="28"/>
          <w:szCs w:val="28"/>
        </w:rPr>
      </w:pPr>
      <w:r>
        <w:rPr>
          <w:rFonts w:hint="eastAsia" w:ascii="宋体" w:hAnsi="宋体"/>
          <w:sz w:val="28"/>
          <w:szCs w:val="28"/>
        </w:rPr>
        <w:t>（2）</w:t>
      </w:r>
      <w:r>
        <w:rPr>
          <w:rFonts w:hint="eastAsia" w:ascii="宋体" w:hAnsi="宋体"/>
          <w:sz w:val="28"/>
          <w:szCs w:val="28"/>
          <w:lang w:eastAsia="zh-CN"/>
        </w:rPr>
        <w:t>盐津县豆沙狮子湾加油站</w:t>
      </w:r>
      <w:r>
        <w:rPr>
          <w:rFonts w:ascii="宋体" w:hAnsi="宋体"/>
          <w:sz w:val="28"/>
          <w:szCs w:val="28"/>
        </w:rPr>
        <w:t>安全员：负责抓好加油站各岗位人员的教育、组织、培训</w:t>
      </w:r>
      <w:r>
        <w:rPr>
          <w:rFonts w:hint="eastAsia" w:ascii="宋体" w:hAnsi="宋体"/>
          <w:sz w:val="28"/>
          <w:szCs w:val="28"/>
        </w:rPr>
        <w:t>及协助加油站站长安全管理工作。</w:t>
      </w:r>
    </w:p>
    <w:p w14:paraId="128B8BA1">
      <w:pPr>
        <w:spacing w:line="500" w:lineRule="exact"/>
        <w:ind w:firstLine="537" w:firstLineChars="192"/>
        <w:rPr>
          <w:rFonts w:ascii="宋体" w:hAnsi="宋体"/>
          <w:sz w:val="28"/>
          <w:szCs w:val="28"/>
        </w:rPr>
      </w:pPr>
      <w:r>
        <w:rPr>
          <w:rFonts w:hint="eastAsia" w:ascii="宋体" w:hAnsi="宋体"/>
          <w:sz w:val="28"/>
          <w:szCs w:val="28"/>
        </w:rPr>
        <w:t>（3）</w:t>
      </w:r>
      <w:r>
        <w:rPr>
          <w:rFonts w:hint="eastAsia" w:ascii="宋体" w:hAnsi="宋体"/>
          <w:sz w:val="28"/>
          <w:szCs w:val="28"/>
          <w:lang w:eastAsia="zh-CN"/>
        </w:rPr>
        <w:t>盐津县豆沙狮子湾加油站</w:t>
      </w:r>
      <w:r>
        <w:rPr>
          <w:rFonts w:ascii="宋体" w:hAnsi="宋体"/>
          <w:sz w:val="28"/>
          <w:szCs w:val="28"/>
        </w:rPr>
        <w:t>具体操作人员</w:t>
      </w:r>
      <w:r>
        <w:rPr>
          <w:rFonts w:hint="eastAsia" w:ascii="宋体" w:hAnsi="宋体"/>
          <w:sz w:val="28"/>
          <w:szCs w:val="28"/>
        </w:rPr>
        <w:t>：</w:t>
      </w:r>
      <w:r>
        <w:rPr>
          <w:rFonts w:ascii="宋体" w:hAnsi="宋体"/>
          <w:sz w:val="28"/>
          <w:szCs w:val="28"/>
        </w:rPr>
        <w:t>负责加油站的日常具体工作。</w:t>
      </w:r>
    </w:p>
    <w:p w14:paraId="3BDFCAD0">
      <w:pPr>
        <w:spacing w:line="500" w:lineRule="exact"/>
        <w:rPr>
          <w:rFonts w:ascii="宋体" w:hAnsi="宋体"/>
          <w:b/>
          <w:sz w:val="28"/>
        </w:rPr>
      </w:pPr>
      <w:bookmarkStart w:id="152" w:name="_Toc438040909"/>
      <w:bookmarkStart w:id="153" w:name="_Toc424306004"/>
      <w:bookmarkStart w:id="154" w:name="_Toc424306255"/>
      <w:bookmarkStart w:id="155" w:name="_Toc489629024"/>
      <w:bookmarkStart w:id="156" w:name="_Toc420403873"/>
      <w:bookmarkStart w:id="157" w:name="_Toc433992356"/>
      <w:r>
        <w:rPr>
          <w:rFonts w:hint="eastAsia" w:ascii="宋体" w:hAnsi="宋体"/>
          <w:b/>
          <w:sz w:val="28"/>
        </w:rPr>
        <w:t>3.安全管理制度、职责及操作规程</w:t>
      </w:r>
      <w:bookmarkEnd w:id="152"/>
      <w:bookmarkEnd w:id="153"/>
      <w:bookmarkEnd w:id="154"/>
      <w:bookmarkEnd w:id="155"/>
      <w:bookmarkEnd w:id="156"/>
      <w:bookmarkEnd w:id="157"/>
    </w:p>
    <w:p w14:paraId="51A328F9">
      <w:pPr>
        <w:spacing w:line="500" w:lineRule="atLeast"/>
        <w:ind w:firstLine="560" w:firstLineChars="200"/>
        <w:rPr>
          <w:rFonts w:ascii="宋体" w:hAnsi="宋体"/>
          <w:sz w:val="28"/>
          <w:szCs w:val="28"/>
        </w:rPr>
      </w:pPr>
      <w:r>
        <w:rPr>
          <w:rFonts w:hint="eastAsia" w:ascii="宋体" w:hAnsi="宋体"/>
          <w:sz w:val="28"/>
        </w:rPr>
        <w:t>根据有关法律法规要求</w:t>
      </w:r>
      <w:r>
        <w:rPr>
          <w:rFonts w:hint="eastAsia" w:ascii="宋体" w:hAnsi="宋体"/>
          <w:sz w:val="28"/>
          <w:szCs w:val="28"/>
          <w:lang w:eastAsia="zh-CN"/>
        </w:rPr>
        <w:t>盐津县豆沙狮子湾加油站</w:t>
      </w:r>
      <w:r>
        <w:rPr>
          <w:rFonts w:hint="eastAsia" w:ascii="宋体" w:hAnsi="宋体"/>
          <w:sz w:val="28"/>
          <w:szCs w:val="28"/>
        </w:rPr>
        <w:t>制定了相应的职责、安全生产管理制度、操作规程等。（见附件）。</w:t>
      </w:r>
    </w:p>
    <w:p w14:paraId="24D8816D">
      <w:pPr>
        <w:pStyle w:val="4"/>
        <w:spacing w:afterLines="100" w:line="500" w:lineRule="exact"/>
        <w:rPr>
          <w:rFonts w:ascii="黑体" w:hAnsi="宋体"/>
          <w:kern w:val="3"/>
          <w:sz w:val="28"/>
          <w:szCs w:val="28"/>
        </w:rPr>
      </w:pPr>
      <w:bookmarkStart w:id="158" w:name="_Toc71894895"/>
      <w:r>
        <w:rPr>
          <w:rFonts w:hint="eastAsia" w:ascii="黑体" w:hAnsi="宋体"/>
          <w:kern w:val="3"/>
          <w:sz w:val="28"/>
          <w:szCs w:val="28"/>
        </w:rPr>
        <w:t>2.10.3</w:t>
      </w:r>
      <w:r>
        <w:rPr>
          <w:rFonts w:ascii="黑体" w:hAnsi="宋体"/>
          <w:kern w:val="3"/>
          <w:sz w:val="28"/>
          <w:szCs w:val="28"/>
        </w:rPr>
        <w:t>应急救援预案</w:t>
      </w:r>
      <w:bookmarkEnd w:id="158"/>
    </w:p>
    <w:p w14:paraId="67EC526A">
      <w:pPr>
        <w:spacing w:line="360" w:lineRule="auto"/>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按照相关技术规范的要求</w:t>
      </w:r>
      <w:r>
        <w:rPr>
          <w:rFonts w:ascii="宋体" w:hAnsi="宋体"/>
          <w:sz w:val="28"/>
          <w:szCs w:val="28"/>
        </w:rPr>
        <w:t>制定了《</w:t>
      </w:r>
      <w:r>
        <w:rPr>
          <w:rFonts w:hint="eastAsia" w:ascii="宋体" w:hAnsi="宋体"/>
          <w:sz w:val="28"/>
          <w:szCs w:val="28"/>
          <w:lang w:eastAsia="zh-CN"/>
        </w:rPr>
        <w:t>盐津县豆沙狮子湾加油站</w:t>
      </w:r>
      <w:r>
        <w:rPr>
          <w:rFonts w:hint="eastAsia" w:ascii="宋体" w:hAnsi="宋体"/>
          <w:sz w:val="28"/>
          <w:szCs w:val="28"/>
        </w:rPr>
        <w:t>生产安全事故应急救援预案</w:t>
      </w:r>
      <w:r>
        <w:rPr>
          <w:rFonts w:ascii="宋体" w:hAnsi="宋体"/>
          <w:sz w:val="28"/>
          <w:szCs w:val="28"/>
        </w:rPr>
        <w:t>》</w:t>
      </w:r>
      <w:r>
        <w:rPr>
          <w:rFonts w:hint="eastAsia" w:ascii="宋体" w:hAnsi="宋体"/>
          <w:sz w:val="28"/>
          <w:szCs w:val="28"/>
        </w:rPr>
        <w:t>，加油站定期组织员工对所制定的预案进行应急演练，并做好应急演练记录。加油站所制定的应急预案202</w:t>
      </w:r>
      <w:r>
        <w:rPr>
          <w:rFonts w:hint="eastAsia" w:ascii="宋体" w:hAnsi="宋体"/>
          <w:sz w:val="28"/>
          <w:szCs w:val="28"/>
          <w:lang w:val="en-US" w:eastAsia="zh-CN"/>
        </w:rPr>
        <w:t>2</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月到</w:t>
      </w:r>
      <w:r>
        <w:rPr>
          <w:rFonts w:hint="eastAsia" w:ascii="宋体" w:hAnsi="宋体"/>
          <w:sz w:val="28"/>
          <w:szCs w:val="28"/>
          <w:lang w:val="en-US" w:eastAsia="zh-CN"/>
        </w:rPr>
        <w:t>盐津</w:t>
      </w:r>
      <w:r>
        <w:rPr>
          <w:rFonts w:hint="eastAsia" w:ascii="宋体" w:hAnsi="宋体"/>
          <w:sz w:val="28"/>
          <w:szCs w:val="28"/>
          <w:lang w:eastAsia="zh-CN"/>
        </w:rPr>
        <w:t>县</w:t>
      </w:r>
      <w:r>
        <w:rPr>
          <w:rFonts w:hint="eastAsia" w:ascii="宋体" w:hAnsi="宋体"/>
          <w:sz w:val="28"/>
          <w:szCs w:val="28"/>
        </w:rPr>
        <w:t>应急管理局进行了备案，备案编号为：53062</w:t>
      </w:r>
      <w:r>
        <w:rPr>
          <w:rFonts w:hint="eastAsia" w:ascii="宋体" w:hAnsi="宋体"/>
          <w:sz w:val="28"/>
          <w:szCs w:val="28"/>
          <w:lang w:val="en-US" w:eastAsia="zh-CN"/>
        </w:rPr>
        <w:t>3</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-0</w:t>
      </w:r>
      <w:r>
        <w:rPr>
          <w:rFonts w:hint="eastAsia" w:ascii="宋体" w:hAnsi="宋体"/>
          <w:sz w:val="28"/>
          <w:szCs w:val="28"/>
          <w:lang w:val="en-US" w:eastAsia="zh-CN"/>
        </w:rPr>
        <w:t>0005</w:t>
      </w:r>
      <w:r>
        <w:rPr>
          <w:rFonts w:hint="eastAsia" w:ascii="宋体" w:hAnsi="宋体"/>
          <w:sz w:val="28"/>
          <w:szCs w:val="28"/>
        </w:rPr>
        <w:t>。</w:t>
      </w:r>
    </w:p>
    <w:p w14:paraId="72CA9FFB">
      <w:pPr>
        <w:pStyle w:val="4"/>
        <w:spacing w:afterLines="100" w:line="500" w:lineRule="exact"/>
        <w:rPr>
          <w:rFonts w:ascii="黑体" w:hAnsi="宋体"/>
          <w:kern w:val="3"/>
          <w:sz w:val="28"/>
          <w:szCs w:val="28"/>
        </w:rPr>
      </w:pPr>
      <w:bookmarkStart w:id="159" w:name="_Toc71894896"/>
      <w:r>
        <w:rPr>
          <w:rFonts w:hint="eastAsia" w:ascii="黑体" w:hAnsi="宋体"/>
          <w:kern w:val="3"/>
          <w:sz w:val="28"/>
          <w:szCs w:val="28"/>
        </w:rPr>
        <w:t>2.10.4特殊作业情况</w:t>
      </w:r>
      <w:bookmarkEnd w:id="159"/>
    </w:p>
    <w:p w14:paraId="248F9158">
      <w:pPr>
        <w:spacing w:line="360" w:lineRule="auto"/>
        <w:ind w:firstLine="560" w:firstLineChars="200"/>
        <w:rPr>
          <w:rFonts w:ascii="宋体" w:hAnsi="宋体"/>
          <w:sz w:val="28"/>
          <w:szCs w:val="28"/>
        </w:rPr>
      </w:pPr>
      <w:r>
        <w:rPr>
          <w:rFonts w:hint="eastAsia" w:ascii="宋体" w:hAnsi="宋体"/>
          <w:sz w:val="28"/>
          <w:szCs w:val="28"/>
        </w:rPr>
        <w:t>根据《危险化学品企业特殊作业安全规范》（</w:t>
      </w:r>
      <w:r>
        <w:rPr>
          <w:rFonts w:ascii="宋体" w:hAnsi="宋体"/>
          <w:sz w:val="28"/>
          <w:szCs w:val="28"/>
        </w:rPr>
        <w:t>GB</w:t>
      </w:r>
      <w:r>
        <w:rPr>
          <w:rFonts w:hint="eastAsia" w:ascii="宋体" w:hAnsi="宋体"/>
          <w:sz w:val="28"/>
          <w:szCs w:val="28"/>
        </w:rPr>
        <w:t>30871-20</w:t>
      </w:r>
      <w:r>
        <w:rPr>
          <w:rFonts w:hint="eastAsia" w:ascii="宋体" w:hAnsi="宋体"/>
          <w:sz w:val="28"/>
          <w:szCs w:val="28"/>
          <w:lang w:val="en-US" w:eastAsia="zh-CN"/>
        </w:rPr>
        <w:t>22</w:t>
      </w:r>
      <w:r>
        <w:rPr>
          <w:rFonts w:hint="eastAsia" w:ascii="宋体" w:hAnsi="宋体"/>
          <w:sz w:val="28"/>
          <w:szCs w:val="28"/>
        </w:rPr>
        <w:t>）</w:t>
      </w:r>
      <w:r>
        <w:rPr>
          <w:rFonts w:hint="eastAsia" w:ascii="宋体" w:hAnsi="宋体"/>
          <w:sz w:val="28"/>
          <w:szCs w:val="28"/>
          <w:lang w:eastAsia="zh-CN"/>
        </w:rPr>
        <w:t>盐津县豆沙狮子湾加油站</w:t>
      </w:r>
      <w:r>
        <w:rPr>
          <w:rFonts w:hint="eastAsia" w:ascii="宋体" w:hAnsi="宋体"/>
          <w:sz w:val="28"/>
          <w:szCs w:val="28"/>
        </w:rPr>
        <w:t>属于易燃易爆场所，加油站所涉及的特殊作业有：动火作业、进入受限空间作业、高处作业、临时用电作业等。</w:t>
      </w:r>
    </w:p>
    <w:p w14:paraId="46DC8F4E">
      <w:pPr>
        <w:pStyle w:val="4"/>
        <w:spacing w:afterLines="100" w:line="500" w:lineRule="exact"/>
        <w:rPr>
          <w:rFonts w:ascii="黑体" w:hAnsi="宋体"/>
          <w:kern w:val="3"/>
          <w:sz w:val="28"/>
          <w:szCs w:val="28"/>
        </w:rPr>
      </w:pPr>
      <w:bookmarkStart w:id="160" w:name="_Toc71894897"/>
      <w:r>
        <w:rPr>
          <w:rFonts w:hint="eastAsia" w:ascii="黑体" w:hAnsi="宋体"/>
          <w:kern w:val="3"/>
          <w:sz w:val="28"/>
          <w:szCs w:val="28"/>
        </w:rPr>
        <w:t>2.10.5</w:t>
      </w:r>
      <w:r>
        <w:rPr>
          <w:rFonts w:ascii="黑体" w:hAnsi="宋体"/>
          <w:kern w:val="3"/>
          <w:sz w:val="28"/>
          <w:szCs w:val="28"/>
        </w:rPr>
        <w:t>从业人员保险及劳动保护</w:t>
      </w:r>
      <w:bookmarkEnd w:id="160"/>
    </w:p>
    <w:p w14:paraId="5841A7E0">
      <w:pPr>
        <w:spacing w:line="500" w:lineRule="exact"/>
        <w:ind w:firstLine="560" w:firstLineChars="200"/>
        <w:rPr>
          <w:rFonts w:ascii="宋体" w:hAnsi="宋体"/>
          <w:sz w:val="28"/>
          <w:szCs w:val="28"/>
        </w:rPr>
      </w:pPr>
      <w:r>
        <w:rPr>
          <w:rFonts w:ascii="宋体" w:hAnsi="宋体"/>
          <w:sz w:val="28"/>
          <w:szCs w:val="28"/>
        </w:rPr>
        <w:t>1．保险：</w:t>
      </w:r>
      <w:r>
        <w:rPr>
          <w:rFonts w:hint="eastAsia" w:ascii="宋体" w:hAnsi="宋体"/>
          <w:sz w:val="28"/>
          <w:szCs w:val="28"/>
          <w:lang w:val="en-US" w:eastAsia="zh-CN"/>
        </w:rPr>
        <w:t>加油站</w:t>
      </w:r>
      <w:r>
        <w:rPr>
          <w:rFonts w:hint="eastAsia" w:ascii="宋体" w:hAnsi="宋体"/>
          <w:sz w:val="28"/>
          <w:szCs w:val="28"/>
        </w:rPr>
        <w:t>统一为员工购买了</w:t>
      </w:r>
      <w:r>
        <w:rPr>
          <w:rFonts w:hint="eastAsia" w:ascii="宋体" w:hAnsi="宋体"/>
          <w:sz w:val="28"/>
          <w:szCs w:val="28"/>
          <w:lang w:val="en-US" w:eastAsia="zh-CN"/>
        </w:rPr>
        <w:t>工伤保险和安责险</w:t>
      </w:r>
      <w:r>
        <w:rPr>
          <w:rFonts w:ascii="宋体" w:hAnsi="宋体"/>
          <w:sz w:val="28"/>
          <w:szCs w:val="28"/>
        </w:rPr>
        <w:t>。</w:t>
      </w:r>
    </w:p>
    <w:p w14:paraId="1CBDFCF5">
      <w:pPr>
        <w:spacing w:line="500" w:lineRule="exact"/>
        <w:ind w:firstLine="560" w:firstLineChars="200"/>
        <w:rPr>
          <w:rFonts w:ascii="宋体" w:hAnsi="宋体"/>
          <w:sz w:val="28"/>
          <w:szCs w:val="28"/>
        </w:rPr>
      </w:pPr>
      <w:r>
        <w:rPr>
          <w:rFonts w:ascii="宋体" w:hAnsi="宋体"/>
          <w:sz w:val="28"/>
          <w:szCs w:val="28"/>
        </w:rPr>
        <w:t>2．劳保用品：</w:t>
      </w:r>
      <w:r>
        <w:rPr>
          <w:rFonts w:hint="eastAsia" w:ascii="宋体" w:hAnsi="宋体"/>
          <w:sz w:val="28"/>
          <w:szCs w:val="28"/>
          <w:lang w:val="en-US" w:eastAsia="zh-CN"/>
        </w:rPr>
        <w:t>加油站</w:t>
      </w:r>
      <w:r>
        <w:rPr>
          <w:rFonts w:ascii="宋体" w:hAnsi="宋体"/>
          <w:sz w:val="28"/>
          <w:szCs w:val="28"/>
        </w:rPr>
        <w:t>为从业人员发放的劳保用品有：防静电工作服</w:t>
      </w:r>
      <w:r>
        <w:rPr>
          <w:rFonts w:hint="eastAsia" w:ascii="宋体" w:hAnsi="宋体"/>
          <w:sz w:val="28"/>
          <w:szCs w:val="28"/>
        </w:rPr>
        <w:t>、绝缘手套、</w:t>
      </w:r>
      <w:r>
        <w:rPr>
          <w:rFonts w:ascii="宋体" w:hAnsi="宋体"/>
          <w:sz w:val="28"/>
          <w:szCs w:val="28"/>
        </w:rPr>
        <w:t>洗衣粉</w:t>
      </w:r>
      <w:r>
        <w:rPr>
          <w:rFonts w:hint="eastAsia" w:ascii="宋体" w:hAnsi="宋体"/>
          <w:sz w:val="28"/>
          <w:szCs w:val="28"/>
        </w:rPr>
        <w:t>、</w:t>
      </w:r>
      <w:r>
        <w:rPr>
          <w:rFonts w:ascii="宋体" w:hAnsi="宋体"/>
          <w:sz w:val="28"/>
          <w:szCs w:val="28"/>
        </w:rPr>
        <w:t>肥皂</w:t>
      </w:r>
      <w:r>
        <w:rPr>
          <w:rFonts w:hint="eastAsia" w:ascii="宋体" w:hAnsi="宋体"/>
          <w:sz w:val="28"/>
          <w:szCs w:val="28"/>
        </w:rPr>
        <w:t>、</w:t>
      </w:r>
      <w:r>
        <w:rPr>
          <w:rFonts w:ascii="宋体" w:hAnsi="宋体"/>
          <w:sz w:val="28"/>
          <w:szCs w:val="28"/>
        </w:rPr>
        <w:t>毛巾</w:t>
      </w:r>
      <w:r>
        <w:rPr>
          <w:rFonts w:hint="eastAsia" w:ascii="宋体" w:hAnsi="宋体"/>
          <w:sz w:val="28"/>
          <w:szCs w:val="28"/>
        </w:rPr>
        <w:t>等物品</w:t>
      </w:r>
      <w:r>
        <w:rPr>
          <w:rFonts w:ascii="宋体" w:hAnsi="宋体"/>
          <w:sz w:val="28"/>
          <w:szCs w:val="28"/>
        </w:rPr>
        <w:t>。</w:t>
      </w:r>
    </w:p>
    <w:p w14:paraId="1DA63B22">
      <w:pPr>
        <w:pStyle w:val="4"/>
        <w:spacing w:afterLines="100" w:line="500" w:lineRule="exact"/>
        <w:jc w:val="center"/>
        <w:rPr>
          <w:rFonts w:ascii="楷体_GB2312" w:hAnsi="宋体" w:eastAsia="楷体_GB2312"/>
          <w:kern w:val="3"/>
        </w:rPr>
      </w:pPr>
      <w:bookmarkStart w:id="161" w:name="_Toc71894898"/>
      <w:bookmarkStart w:id="162" w:name="_Toc358369093"/>
      <w:r>
        <w:rPr>
          <w:rFonts w:hint="eastAsia" w:ascii="楷体_GB2312" w:hAnsi="宋体" w:eastAsia="楷体_GB2312"/>
          <w:kern w:val="3"/>
        </w:rPr>
        <w:t>2.11取证以来企业变更情况</w:t>
      </w:r>
      <w:bookmarkEnd w:id="161"/>
      <w:bookmarkEnd w:id="162"/>
    </w:p>
    <w:p w14:paraId="01096894">
      <w:pPr>
        <w:adjustRightInd w:val="0"/>
        <w:snapToGrid w:val="0"/>
        <w:spacing w:line="360" w:lineRule="auto"/>
        <w:ind w:firstLine="560" w:firstLineChars="200"/>
        <w:rPr>
          <w:rFonts w:ascii="宋体" w:hAnsi="宋体"/>
          <w:snapToGrid w:val="0"/>
          <w:kern w:val="0"/>
          <w:sz w:val="28"/>
          <w:szCs w:val="28"/>
        </w:rPr>
      </w:pPr>
      <w:r>
        <w:rPr>
          <w:rFonts w:hint="eastAsia" w:ascii="宋体" w:hAnsi="宋体"/>
          <w:sz w:val="28"/>
          <w:szCs w:val="28"/>
        </w:rPr>
        <w:t>根据</w:t>
      </w:r>
      <w:r>
        <w:rPr>
          <w:rFonts w:hint="eastAsia" w:ascii="宋体" w:hAnsi="宋体"/>
          <w:snapToGrid w:val="0"/>
          <w:kern w:val="0"/>
          <w:sz w:val="28"/>
          <w:szCs w:val="28"/>
        </w:rPr>
        <w:t>站长现场介绍及评价组现场检查情况可知，</w:t>
      </w:r>
      <w:r>
        <w:rPr>
          <w:rFonts w:ascii="宋体" w:hAnsi="宋体"/>
          <w:sz w:val="28"/>
          <w:szCs w:val="28"/>
        </w:rPr>
        <w:t>自</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年</w:t>
      </w:r>
      <w:r>
        <w:rPr>
          <w:rFonts w:ascii="宋体" w:hAnsi="宋体"/>
          <w:sz w:val="28"/>
          <w:szCs w:val="28"/>
        </w:rPr>
        <w:t>取证以来</w:t>
      </w:r>
      <w:r>
        <w:rPr>
          <w:rFonts w:hint="eastAsia" w:ascii="宋体" w:hAnsi="宋体"/>
          <w:sz w:val="28"/>
          <w:szCs w:val="28"/>
        </w:rPr>
        <w:t>除加油站外表装饰以外</w:t>
      </w:r>
      <w:r>
        <w:rPr>
          <w:rFonts w:ascii="宋体" w:hAnsi="宋体"/>
          <w:sz w:val="28"/>
          <w:szCs w:val="28"/>
        </w:rPr>
        <w:t>，</w:t>
      </w:r>
      <w:r>
        <w:rPr>
          <w:rFonts w:ascii="宋体" w:hAnsi="宋体"/>
          <w:snapToGrid w:val="0"/>
          <w:kern w:val="0"/>
          <w:sz w:val="28"/>
          <w:szCs w:val="28"/>
        </w:rPr>
        <w:t>加油站加油工艺</w:t>
      </w:r>
      <w:r>
        <w:rPr>
          <w:rFonts w:hint="eastAsia" w:ascii="宋体" w:hAnsi="宋体"/>
          <w:snapToGrid w:val="0"/>
          <w:kern w:val="0"/>
          <w:sz w:val="28"/>
          <w:szCs w:val="28"/>
        </w:rPr>
        <w:t>、油罐个数、经营油品品种、单罐容积、总储量、加油站级别、通气管数量、加油机、加油枪、加油岛数量等</w:t>
      </w:r>
      <w:r>
        <w:rPr>
          <w:rFonts w:hint="eastAsia" w:ascii="宋体" w:hAnsi="宋体"/>
          <w:sz w:val="28"/>
          <w:szCs w:val="28"/>
        </w:rPr>
        <w:t>未发生变化，周边环境、平面布置、安全管理、</w:t>
      </w:r>
      <w:r>
        <w:rPr>
          <w:rFonts w:ascii="宋体" w:hAnsi="宋体"/>
          <w:snapToGrid w:val="0"/>
          <w:kern w:val="0"/>
          <w:sz w:val="28"/>
          <w:szCs w:val="28"/>
        </w:rPr>
        <w:t>设施、设备等的变化情况</w:t>
      </w:r>
      <w:r>
        <w:rPr>
          <w:rFonts w:hint="eastAsia" w:ascii="宋体" w:hAnsi="宋体"/>
          <w:snapToGrid w:val="0"/>
          <w:kern w:val="0"/>
          <w:sz w:val="28"/>
          <w:szCs w:val="28"/>
        </w:rPr>
        <w:t>如下：</w:t>
      </w:r>
    </w:p>
    <w:p w14:paraId="13DB9253">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1.安全管理人员进行更换。</w:t>
      </w:r>
    </w:p>
    <w:p w14:paraId="211EE18A">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取证以来</w:t>
      </w:r>
      <w:r>
        <w:rPr>
          <w:rFonts w:hint="eastAsia" w:ascii="宋体" w:hAnsi="宋体"/>
          <w:sz w:val="28"/>
          <w:szCs w:val="28"/>
        </w:rPr>
        <w:t>对各级部门提出的不足之处进行整改：例如及时更换失效的灭火器材及油罐区的消防沙、更换加油区老化褪色的安全警示标志等，定期对加油站检查，并结合各级部门检查后提出的不足之处进行整改。</w:t>
      </w:r>
    </w:p>
    <w:p w14:paraId="7438A810">
      <w:pPr>
        <w:tabs>
          <w:tab w:val="left" w:pos="420"/>
          <w:tab w:val="left" w:pos="540"/>
        </w:tabs>
        <w:adjustRightInd w:val="0"/>
        <w:snapToGrid w:val="0"/>
        <w:spacing w:line="360" w:lineRule="auto"/>
        <w:ind w:firstLine="560" w:firstLineChars="200"/>
        <w:rPr>
          <w:rFonts w:ascii="宋体" w:hAnsi="宋体"/>
          <w:sz w:val="28"/>
          <w:szCs w:val="28"/>
        </w:rPr>
      </w:pPr>
      <w:bookmarkStart w:id="163" w:name="_Toc389038352"/>
      <w:bookmarkStart w:id="164" w:name="_Toc420403877"/>
      <w:bookmarkStart w:id="165" w:name="_Toc415831222"/>
      <w:bookmarkStart w:id="166" w:name="_Toc424306009"/>
      <w:bookmarkStart w:id="167" w:name="_Toc424306260"/>
      <w:r>
        <w:rPr>
          <w:rFonts w:hint="eastAsia" w:ascii="宋体" w:hAnsi="宋体"/>
          <w:sz w:val="28"/>
          <w:szCs w:val="28"/>
        </w:rPr>
        <w:t>3.</w:t>
      </w:r>
      <w:bookmarkEnd w:id="163"/>
      <w:bookmarkEnd w:id="164"/>
      <w:bookmarkEnd w:id="165"/>
      <w:bookmarkEnd w:id="166"/>
      <w:bookmarkEnd w:id="167"/>
      <w:r>
        <w:rPr>
          <w:rFonts w:hint="eastAsia" w:ascii="宋体" w:hAnsi="宋体"/>
          <w:sz w:val="28"/>
          <w:szCs w:val="28"/>
        </w:rPr>
        <w:t xml:space="preserve"> 加油站按规范要求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的要求进行档案台帐建设，现场检查发现加油站日常检查记录不完善，安全标准化运行未每年进行一次自评。</w:t>
      </w:r>
    </w:p>
    <w:p w14:paraId="222162FC">
      <w:pPr>
        <w:tabs>
          <w:tab w:val="left" w:pos="420"/>
          <w:tab w:val="left" w:pos="540"/>
        </w:tabs>
        <w:adjustRightInd w:val="0"/>
        <w:snapToGrid w:val="0"/>
        <w:spacing w:line="360" w:lineRule="auto"/>
        <w:ind w:firstLine="560" w:firstLineChars="200"/>
        <w:rPr>
          <w:rFonts w:ascii="宋体" w:hAnsi="宋体"/>
          <w:sz w:val="28"/>
          <w:szCs w:val="28"/>
        </w:rPr>
      </w:pPr>
      <w:bookmarkStart w:id="168" w:name="_Toc420403878"/>
      <w:bookmarkStart w:id="169" w:name="_Toc424306011"/>
      <w:bookmarkStart w:id="170" w:name="_Toc424306262"/>
      <w:r>
        <w:rPr>
          <w:rFonts w:hint="eastAsia" w:ascii="宋体" w:hAnsi="宋体"/>
          <w:sz w:val="28"/>
          <w:szCs w:val="28"/>
        </w:rPr>
        <w:t>4.根据</w:t>
      </w:r>
      <w:r>
        <w:rPr>
          <w:rFonts w:hint="eastAsia" w:ascii="宋体" w:hAnsi="宋体"/>
          <w:sz w:val="28"/>
          <w:szCs w:val="28"/>
          <w:lang w:eastAsia="zh-CN"/>
        </w:rPr>
        <w:t>盐津县豆沙狮子湾加油站</w:t>
      </w:r>
      <w:r>
        <w:rPr>
          <w:rFonts w:hint="eastAsia" w:ascii="宋体" w:hAnsi="宋体"/>
          <w:sz w:val="28"/>
          <w:szCs w:val="28"/>
        </w:rPr>
        <w:t>负责人介绍，加油站从建成运行至评价基准日，加油站工艺设备未发生改变，设备设施运行正常，未发生过生产安全事故。</w:t>
      </w:r>
      <w:bookmarkEnd w:id="168"/>
      <w:bookmarkEnd w:id="169"/>
      <w:bookmarkEnd w:id="170"/>
    </w:p>
    <w:p w14:paraId="39C7B677">
      <w:pPr>
        <w:pStyle w:val="4"/>
        <w:spacing w:afterLines="100" w:line="500" w:lineRule="exact"/>
        <w:jc w:val="center"/>
        <w:rPr>
          <w:rFonts w:ascii="楷体_GB2312" w:hAnsi="宋体" w:eastAsia="楷体_GB2312"/>
          <w:kern w:val="3"/>
        </w:rPr>
      </w:pPr>
      <w:r>
        <w:rPr>
          <w:rFonts w:ascii="宋体" w:hAnsi="宋体" w:eastAsia="宋体"/>
        </w:rPr>
        <w:br w:type="page"/>
      </w:r>
      <w:bookmarkStart w:id="171" w:name="_Toc355685127"/>
      <w:bookmarkStart w:id="172" w:name="_Toc71894899"/>
      <w:r>
        <w:rPr>
          <w:rFonts w:hint="eastAsia" w:ascii="楷体_GB2312" w:hAnsi="宋体" w:eastAsia="楷体_GB2312"/>
          <w:kern w:val="3"/>
        </w:rPr>
        <w:t xml:space="preserve">第3章  </w:t>
      </w:r>
      <w:bookmarkEnd w:id="171"/>
      <w:r>
        <w:rPr>
          <w:rFonts w:hint="eastAsia" w:ascii="楷体_GB2312" w:hAnsi="宋体" w:eastAsia="楷体_GB2312"/>
          <w:kern w:val="3"/>
        </w:rPr>
        <w:t>危险、有害因素的辨识</w:t>
      </w:r>
      <w:bookmarkEnd w:id="172"/>
    </w:p>
    <w:p w14:paraId="7E5FD732">
      <w:pPr>
        <w:pStyle w:val="4"/>
        <w:spacing w:afterLines="100" w:line="500" w:lineRule="exact"/>
        <w:jc w:val="center"/>
        <w:rPr>
          <w:rFonts w:ascii="楷体_GB2312" w:hAnsi="宋体" w:eastAsia="楷体_GB2312"/>
          <w:kern w:val="3"/>
        </w:rPr>
      </w:pPr>
      <w:bookmarkStart w:id="173" w:name="_Toc71894900"/>
      <w:r>
        <w:rPr>
          <w:rFonts w:hint="eastAsia" w:ascii="楷体_GB2312" w:hAnsi="宋体" w:eastAsia="楷体_GB2312"/>
          <w:kern w:val="3"/>
        </w:rPr>
        <w:t>3.1危险、有害物质及其特性</w:t>
      </w:r>
      <w:bookmarkEnd w:id="173"/>
    </w:p>
    <w:p w14:paraId="730A0D76">
      <w:pPr>
        <w:pStyle w:val="10"/>
        <w:jc w:val="center"/>
        <w:rPr>
          <w:rFonts w:ascii="宋体" w:hAnsi="宋体"/>
          <w:sz w:val="28"/>
        </w:rPr>
      </w:pPr>
      <w:r>
        <w:rPr>
          <w:rFonts w:hint="eastAsia" w:ascii="宋体" w:hAnsi="宋体"/>
          <w:sz w:val="28"/>
        </w:rPr>
        <w:t>汽油危险有害因素识别表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5152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648" w:type="dxa"/>
            <w:vMerge w:val="restart"/>
          </w:tcPr>
          <w:p w14:paraId="2F7699A7">
            <w:pPr>
              <w:rPr>
                <w:rFonts w:ascii="宋体" w:hAnsi="宋体"/>
              </w:rPr>
            </w:pPr>
          </w:p>
          <w:p w14:paraId="76B3F12E">
            <w:pPr>
              <w:rPr>
                <w:rFonts w:ascii="宋体" w:hAnsi="宋体"/>
              </w:rPr>
            </w:pPr>
            <w:r>
              <w:rPr>
                <w:rFonts w:hint="eastAsia" w:ascii="宋体" w:hAnsi="宋体"/>
              </w:rPr>
              <w:t>标识</w:t>
            </w:r>
          </w:p>
        </w:tc>
        <w:tc>
          <w:tcPr>
            <w:tcW w:w="3598" w:type="dxa"/>
            <w:gridSpan w:val="2"/>
          </w:tcPr>
          <w:p w14:paraId="0877B24B">
            <w:pPr>
              <w:rPr>
                <w:rFonts w:ascii="宋体" w:hAnsi="宋体"/>
              </w:rPr>
            </w:pPr>
            <w:r>
              <w:rPr>
                <w:rFonts w:hint="eastAsia" w:ascii="宋体" w:hAnsi="宋体"/>
              </w:rPr>
              <w:t>中文名：汽油</w:t>
            </w:r>
          </w:p>
        </w:tc>
        <w:tc>
          <w:tcPr>
            <w:tcW w:w="4276" w:type="dxa"/>
            <w:gridSpan w:val="6"/>
          </w:tcPr>
          <w:p w14:paraId="6D54376A">
            <w:pPr>
              <w:rPr>
                <w:rFonts w:ascii="宋体" w:hAnsi="宋体"/>
              </w:rPr>
            </w:pPr>
            <w:r>
              <w:rPr>
                <w:rFonts w:hint="eastAsia" w:ascii="宋体" w:hAnsi="宋体"/>
              </w:rPr>
              <w:t>英文名        gasoline；petrol</w:t>
            </w:r>
          </w:p>
        </w:tc>
      </w:tr>
      <w:tr w14:paraId="13C8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23B42B8">
            <w:pPr>
              <w:rPr>
                <w:rFonts w:ascii="宋体" w:hAnsi="宋体"/>
              </w:rPr>
            </w:pPr>
          </w:p>
        </w:tc>
        <w:tc>
          <w:tcPr>
            <w:tcW w:w="3598" w:type="dxa"/>
            <w:gridSpan w:val="2"/>
          </w:tcPr>
          <w:p w14:paraId="690AAA44">
            <w:pPr>
              <w:rPr>
                <w:rFonts w:ascii="宋体" w:hAnsi="宋体"/>
              </w:rPr>
            </w:pPr>
            <w:r>
              <w:rPr>
                <w:rFonts w:hint="eastAsia" w:ascii="宋体" w:hAnsi="宋体"/>
              </w:rPr>
              <w:t>分子式</w:t>
            </w:r>
          </w:p>
        </w:tc>
        <w:tc>
          <w:tcPr>
            <w:tcW w:w="1981" w:type="dxa"/>
            <w:gridSpan w:val="5"/>
          </w:tcPr>
          <w:p w14:paraId="6F2FCBED">
            <w:pPr>
              <w:rPr>
                <w:rFonts w:ascii="宋体" w:hAnsi="宋体"/>
              </w:rPr>
            </w:pPr>
            <w:r>
              <w:rPr>
                <w:rFonts w:hint="eastAsia" w:ascii="宋体" w:hAnsi="宋体"/>
              </w:rPr>
              <w:t>相对分子质量</w:t>
            </w:r>
          </w:p>
        </w:tc>
        <w:tc>
          <w:tcPr>
            <w:tcW w:w="2295" w:type="dxa"/>
          </w:tcPr>
          <w:p w14:paraId="0DB0F1A7">
            <w:pPr>
              <w:rPr>
                <w:rFonts w:ascii="宋体" w:hAnsi="宋体"/>
              </w:rPr>
            </w:pPr>
            <w:r>
              <w:rPr>
                <w:rFonts w:hint="eastAsia" w:ascii="宋体" w:hAnsi="宋体"/>
              </w:rPr>
              <w:t>UN编号：1203</w:t>
            </w:r>
          </w:p>
        </w:tc>
      </w:tr>
      <w:tr w14:paraId="494B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7FEA30B">
            <w:pPr>
              <w:rPr>
                <w:rFonts w:ascii="宋体" w:hAnsi="宋体"/>
              </w:rPr>
            </w:pPr>
          </w:p>
        </w:tc>
        <w:tc>
          <w:tcPr>
            <w:tcW w:w="3598" w:type="dxa"/>
            <w:gridSpan w:val="2"/>
          </w:tcPr>
          <w:p w14:paraId="5A8517CE">
            <w:pPr>
              <w:rPr>
                <w:rFonts w:ascii="宋体" w:hAnsi="宋体"/>
              </w:rPr>
            </w:pPr>
            <w:r>
              <w:rPr>
                <w:rFonts w:hint="eastAsia" w:ascii="宋体" w:hAnsi="宋体"/>
              </w:rPr>
              <w:t xml:space="preserve">危规号：31001     </w:t>
            </w:r>
          </w:p>
        </w:tc>
        <w:tc>
          <w:tcPr>
            <w:tcW w:w="4276" w:type="dxa"/>
            <w:gridSpan w:val="6"/>
          </w:tcPr>
          <w:p w14:paraId="355C6C2E">
            <w:pPr>
              <w:rPr>
                <w:rFonts w:ascii="宋体" w:hAnsi="宋体"/>
              </w:rPr>
            </w:pPr>
            <w:r>
              <w:rPr>
                <w:rFonts w:hint="eastAsia" w:ascii="宋体" w:hAnsi="宋体"/>
              </w:rPr>
              <w:t>CAS号      8006－61－9</w:t>
            </w:r>
          </w:p>
        </w:tc>
      </w:tr>
      <w:tr w14:paraId="33A2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A6A2239">
            <w:pPr>
              <w:rPr>
                <w:rFonts w:ascii="宋体" w:hAnsi="宋体"/>
              </w:rPr>
            </w:pPr>
          </w:p>
          <w:p w14:paraId="4799600A">
            <w:pPr>
              <w:rPr>
                <w:rFonts w:ascii="宋体" w:hAnsi="宋体"/>
              </w:rPr>
            </w:pPr>
            <w:r>
              <w:rPr>
                <w:rFonts w:hint="eastAsia" w:ascii="宋体" w:hAnsi="宋体"/>
              </w:rPr>
              <w:t>理</w:t>
            </w:r>
          </w:p>
          <w:p w14:paraId="79B1C258">
            <w:pPr>
              <w:rPr>
                <w:rFonts w:ascii="宋体" w:hAnsi="宋体"/>
              </w:rPr>
            </w:pPr>
            <w:r>
              <w:rPr>
                <w:rFonts w:hint="eastAsia" w:ascii="宋体" w:hAnsi="宋体"/>
              </w:rPr>
              <w:t>化</w:t>
            </w:r>
          </w:p>
          <w:p w14:paraId="49DE83BD">
            <w:pPr>
              <w:rPr>
                <w:rFonts w:ascii="宋体" w:hAnsi="宋体"/>
              </w:rPr>
            </w:pPr>
            <w:r>
              <w:rPr>
                <w:rFonts w:hint="eastAsia" w:ascii="宋体" w:hAnsi="宋体"/>
              </w:rPr>
              <w:t>性</w:t>
            </w:r>
          </w:p>
          <w:p w14:paraId="424CC7D9">
            <w:pPr>
              <w:rPr>
                <w:rFonts w:ascii="宋体" w:hAnsi="宋体"/>
              </w:rPr>
            </w:pPr>
            <w:r>
              <w:rPr>
                <w:rFonts w:hint="eastAsia" w:ascii="宋体" w:hAnsi="宋体"/>
              </w:rPr>
              <w:t>质</w:t>
            </w:r>
          </w:p>
        </w:tc>
        <w:tc>
          <w:tcPr>
            <w:tcW w:w="4319" w:type="dxa"/>
            <w:gridSpan w:val="6"/>
          </w:tcPr>
          <w:p w14:paraId="09E6349C">
            <w:pPr>
              <w:rPr>
                <w:rFonts w:ascii="宋体" w:hAnsi="宋体"/>
              </w:rPr>
            </w:pPr>
            <w:r>
              <w:rPr>
                <w:rFonts w:hint="eastAsia" w:ascii="宋体" w:hAnsi="宋体"/>
              </w:rPr>
              <w:t>危险性类别：第2类 易燃液体</w:t>
            </w:r>
          </w:p>
        </w:tc>
        <w:tc>
          <w:tcPr>
            <w:tcW w:w="3555" w:type="dxa"/>
            <w:gridSpan w:val="2"/>
          </w:tcPr>
          <w:p w14:paraId="1D617D82">
            <w:pPr>
              <w:rPr>
                <w:rFonts w:ascii="宋体" w:hAnsi="宋体"/>
              </w:rPr>
            </w:pPr>
          </w:p>
        </w:tc>
      </w:tr>
      <w:tr w14:paraId="44AD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5632DC2">
            <w:pPr>
              <w:rPr>
                <w:rFonts w:ascii="宋体" w:hAnsi="宋体"/>
              </w:rPr>
            </w:pPr>
          </w:p>
        </w:tc>
        <w:tc>
          <w:tcPr>
            <w:tcW w:w="3959" w:type="dxa"/>
            <w:gridSpan w:val="4"/>
          </w:tcPr>
          <w:p w14:paraId="49935A3A">
            <w:pPr>
              <w:rPr>
                <w:rFonts w:ascii="宋体" w:hAnsi="宋体"/>
              </w:rPr>
            </w:pPr>
            <w:r>
              <w:rPr>
                <w:rFonts w:hint="eastAsia" w:ascii="宋体" w:hAnsi="宋体"/>
              </w:rPr>
              <w:t xml:space="preserve">熔点（℃） ＜-60   </w:t>
            </w:r>
          </w:p>
        </w:tc>
        <w:tc>
          <w:tcPr>
            <w:tcW w:w="3915" w:type="dxa"/>
            <w:gridSpan w:val="4"/>
          </w:tcPr>
          <w:p w14:paraId="4A4CA9F6">
            <w:pPr>
              <w:rPr>
                <w:rFonts w:ascii="宋体" w:hAnsi="宋体"/>
              </w:rPr>
            </w:pPr>
            <w:r>
              <w:rPr>
                <w:rFonts w:hint="eastAsia" w:ascii="宋体" w:hAnsi="宋体"/>
              </w:rPr>
              <w:t>沸点（℃） 40～200</w:t>
            </w:r>
          </w:p>
        </w:tc>
      </w:tr>
      <w:tr w14:paraId="52E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6F1ED29">
            <w:pPr>
              <w:rPr>
                <w:rFonts w:ascii="宋体" w:hAnsi="宋体"/>
              </w:rPr>
            </w:pPr>
          </w:p>
        </w:tc>
        <w:tc>
          <w:tcPr>
            <w:tcW w:w="3959" w:type="dxa"/>
            <w:gridSpan w:val="4"/>
          </w:tcPr>
          <w:p w14:paraId="70377101">
            <w:pPr>
              <w:rPr>
                <w:rFonts w:ascii="宋体" w:hAnsi="宋体"/>
              </w:rPr>
            </w:pPr>
            <w:r>
              <w:rPr>
                <w:rFonts w:hint="eastAsia" w:ascii="宋体" w:hAnsi="宋体"/>
              </w:rPr>
              <w:t>相对密度（水＝1）0.7一0.79</w:t>
            </w:r>
          </w:p>
        </w:tc>
        <w:tc>
          <w:tcPr>
            <w:tcW w:w="3915" w:type="dxa"/>
            <w:gridSpan w:val="4"/>
          </w:tcPr>
          <w:p w14:paraId="6E640E3E">
            <w:pPr>
              <w:rPr>
                <w:rFonts w:ascii="宋体" w:hAnsi="宋体"/>
              </w:rPr>
            </w:pPr>
            <w:r>
              <w:rPr>
                <w:rFonts w:hint="eastAsia" w:ascii="宋体" w:hAnsi="宋体"/>
              </w:rPr>
              <w:t>相对密度（空气＝1）3.5</w:t>
            </w:r>
          </w:p>
        </w:tc>
      </w:tr>
      <w:tr w14:paraId="1B36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1E60A16">
            <w:pPr>
              <w:rPr>
                <w:rFonts w:ascii="宋体" w:hAnsi="宋体"/>
              </w:rPr>
            </w:pPr>
          </w:p>
        </w:tc>
        <w:tc>
          <w:tcPr>
            <w:tcW w:w="3959" w:type="dxa"/>
            <w:gridSpan w:val="4"/>
          </w:tcPr>
          <w:p w14:paraId="12E43893">
            <w:pPr>
              <w:rPr>
                <w:rFonts w:ascii="宋体" w:hAnsi="宋体"/>
              </w:rPr>
            </w:pPr>
            <w:r>
              <w:rPr>
                <w:rFonts w:hint="eastAsia" w:ascii="宋体" w:hAnsi="宋体"/>
              </w:rPr>
              <w:t>饱和蒸气压（KPa）</w:t>
            </w:r>
          </w:p>
        </w:tc>
        <w:tc>
          <w:tcPr>
            <w:tcW w:w="3915" w:type="dxa"/>
            <w:gridSpan w:val="4"/>
          </w:tcPr>
          <w:p w14:paraId="3289F0D9">
            <w:pPr>
              <w:rPr>
                <w:rFonts w:ascii="宋体" w:hAnsi="宋体"/>
              </w:rPr>
            </w:pPr>
            <w:r>
              <w:rPr>
                <w:rFonts w:hint="eastAsia" w:ascii="宋体" w:hAnsi="宋体"/>
              </w:rPr>
              <w:t>辛醇／水分配系数的对数值</w:t>
            </w:r>
          </w:p>
        </w:tc>
      </w:tr>
      <w:tr w14:paraId="7003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3456942F">
            <w:pPr>
              <w:rPr>
                <w:rFonts w:ascii="宋体" w:hAnsi="宋体"/>
              </w:rPr>
            </w:pPr>
          </w:p>
        </w:tc>
        <w:tc>
          <w:tcPr>
            <w:tcW w:w="3959" w:type="dxa"/>
            <w:gridSpan w:val="4"/>
            <w:tcBorders>
              <w:bottom w:val="single" w:color="auto" w:sz="4" w:space="0"/>
            </w:tcBorders>
          </w:tcPr>
          <w:p w14:paraId="3A7907A5">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6DDD4325">
            <w:pPr>
              <w:rPr>
                <w:rFonts w:ascii="宋体" w:hAnsi="宋体"/>
              </w:rPr>
            </w:pPr>
            <w:r>
              <w:rPr>
                <w:rFonts w:hint="eastAsia" w:ascii="宋体" w:hAnsi="宋体"/>
              </w:rPr>
              <w:t xml:space="preserve">临界温度（℃）     </w:t>
            </w:r>
          </w:p>
        </w:tc>
      </w:tr>
      <w:tr w14:paraId="4CA4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80D2B70">
            <w:pPr>
              <w:rPr>
                <w:rFonts w:ascii="宋体" w:hAnsi="宋体"/>
              </w:rPr>
            </w:pPr>
          </w:p>
        </w:tc>
        <w:tc>
          <w:tcPr>
            <w:tcW w:w="3959" w:type="dxa"/>
            <w:gridSpan w:val="4"/>
            <w:tcBorders>
              <w:bottom w:val="single" w:color="auto" w:sz="4" w:space="0"/>
            </w:tcBorders>
          </w:tcPr>
          <w:p w14:paraId="5C922F43">
            <w:pPr>
              <w:rPr>
                <w:rFonts w:ascii="宋体" w:hAnsi="宋体"/>
              </w:rPr>
            </w:pPr>
            <w:r>
              <w:rPr>
                <w:rFonts w:hint="eastAsia" w:ascii="宋体" w:hAnsi="宋体"/>
              </w:rPr>
              <w:t>溶解性    不溶于水，易溶于苯、二硫化碳、醇、脂肪</w:t>
            </w:r>
          </w:p>
        </w:tc>
        <w:tc>
          <w:tcPr>
            <w:tcW w:w="3915" w:type="dxa"/>
            <w:gridSpan w:val="4"/>
            <w:tcBorders>
              <w:bottom w:val="single" w:color="auto" w:sz="4" w:space="0"/>
            </w:tcBorders>
          </w:tcPr>
          <w:p w14:paraId="458C4309">
            <w:pPr>
              <w:ind w:left="87"/>
              <w:rPr>
                <w:rFonts w:ascii="宋体" w:hAnsi="宋体"/>
              </w:rPr>
            </w:pPr>
            <w:r>
              <w:rPr>
                <w:rFonts w:hint="eastAsia" w:ascii="宋体" w:hAnsi="宋体"/>
              </w:rPr>
              <w:t>临界压力（Mpa）</w:t>
            </w:r>
          </w:p>
        </w:tc>
      </w:tr>
      <w:tr w14:paraId="2D3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7F9FB183">
            <w:pPr>
              <w:rPr>
                <w:rFonts w:ascii="宋体" w:hAnsi="宋体"/>
              </w:rPr>
            </w:pPr>
            <w:r>
              <w:rPr>
                <w:rFonts w:hint="eastAsia" w:ascii="宋体" w:hAnsi="宋体"/>
              </w:rPr>
              <w:t>危</w:t>
            </w:r>
          </w:p>
          <w:p w14:paraId="4EC7E2A3">
            <w:pPr>
              <w:rPr>
                <w:rFonts w:ascii="宋体" w:hAnsi="宋体"/>
              </w:rPr>
            </w:pPr>
            <w:r>
              <w:rPr>
                <w:rFonts w:hint="eastAsia" w:ascii="宋体" w:hAnsi="宋体"/>
              </w:rPr>
              <w:t>险</w:t>
            </w:r>
          </w:p>
          <w:p w14:paraId="7F4B9F4C">
            <w:pPr>
              <w:rPr>
                <w:rFonts w:ascii="宋体" w:hAnsi="宋体"/>
              </w:rPr>
            </w:pPr>
            <w:r>
              <w:rPr>
                <w:rFonts w:hint="eastAsia" w:ascii="宋体" w:hAnsi="宋体"/>
              </w:rPr>
              <w:t>性</w:t>
            </w:r>
          </w:p>
          <w:p w14:paraId="4484BCB7">
            <w:pPr>
              <w:rPr>
                <w:rFonts w:ascii="宋体" w:hAnsi="宋体"/>
              </w:rPr>
            </w:pPr>
            <w:r>
              <w:rPr>
                <w:rFonts w:hint="eastAsia" w:ascii="宋体" w:hAnsi="宋体"/>
              </w:rPr>
              <w:t>概</w:t>
            </w:r>
          </w:p>
          <w:p w14:paraId="55CBA2A7">
            <w:pPr>
              <w:rPr>
                <w:rFonts w:ascii="宋体" w:hAnsi="宋体"/>
              </w:rPr>
            </w:pPr>
            <w:r>
              <w:rPr>
                <w:rFonts w:hint="eastAsia" w:ascii="宋体" w:hAnsi="宋体"/>
              </w:rPr>
              <w:t>述及消防</w:t>
            </w:r>
          </w:p>
        </w:tc>
        <w:tc>
          <w:tcPr>
            <w:tcW w:w="3959" w:type="dxa"/>
            <w:gridSpan w:val="4"/>
          </w:tcPr>
          <w:p w14:paraId="6A8928DE">
            <w:pPr>
              <w:rPr>
                <w:rFonts w:ascii="宋体" w:hAnsi="宋体"/>
              </w:rPr>
            </w:pPr>
            <w:r>
              <w:rPr>
                <w:rFonts w:hint="eastAsia" w:ascii="宋体" w:hAnsi="宋体"/>
              </w:rPr>
              <w:t xml:space="preserve">燃烧性    易燃          </w:t>
            </w:r>
          </w:p>
        </w:tc>
        <w:tc>
          <w:tcPr>
            <w:tcW w:w="3915" w:type="dxa"/>
            <w:gridSpan w:val="4"/>
          </w:tcPr>
          <w:p w14:paraId="3AFF3C1A">
            <w:pPr>
              <w:rPr>
                <w:rFonts w:ascii="宋体" w:hAnsi="宋体"/>
              </w:rPr>
            </w:pPr>
            <w:r>
              <w:rPr>
                <w:rFonts w:hint="eastAsia" w:ascii="宋体" w:hAnsi="宋体"/>
              </w:rPr>
              <w:t>闪点（℃）-50</w:t>
            </w:r>
          </w:p>
        </w:tc>
      </w:tr>
      <w:tr w14:paraId="58A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1DF8F01A">
            <w:pPr>
              <w:rPr>
                <w:rFonts w:ascii="宋体" w:hAnsi="宋体"/>
              </w:rPr>
            </w:pPr>
          </w:p>
        </w:tc>
        <w:tc>
          <w:tcPr>
            <w:tcW w:w="3959" w:type="dxa"/>
            <w:gridSpan w:val="4"/>
            <w:tcBorders>
              <w:bottom w:val="single" w:color="auto" w:sz="4" w:space="0"/>
            </w:tcBorders>
          </w:tcPr>
          <w:p w14:paraId="7AAA26BF">
            <w:pPr>
              <w:rPr>
                <w:rFonts w:ascii="宋体" w:hAnsi="宋体"/>
              </w:rPr>
            </w:pPr>
            <w:r>
              <w:rPr>
                <w:rFonts w:hint="eastAsia" w:ascii="宋体" w:hAnsi="宋体"/>
              </w:rPr>
              <w:t xml:space="preserve">爆炸下限（％）1     </w:t>
            </w:r>
          </w:p>
        </w:tc>
        <w:tc>
          <w:tcPr>
            <w:tcW w:w="3915" w:type="dxa"/>
            <w:gridSpan w:val="4"/>
            <w:tcBorders>
              <w:top w:val="nil"/>
            </w:tcBorders>
          </w:tcPr>
          <w:p w14:paraId="55B0F1B5">
            <w:pPr>
              <w:rPr>
                <w:rFonts w:ascii="宋体" w:hAnsi="宋体"/>
              </w:rPr>
            </w:pPr>
            <w:r>
              <w:rPr>
                <w:rFonts w:hint="eastAsia" w:ascii="宋体" w:hAnsi="宋体"/>
              </w:rPr>
              <w:t>引燃温度（℃） 415～530</w:t>
            </w:r>
          </w:p>
        </w:tc>
      </w:tr>
      <w:tr w14:paraId="079E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A9393FF">
            <w:pPr>
              <w:rPr>
                <w:rFonts w:ascii="宋体" w:hAnsi="宋体"/>
              </w:rPr>
            </w:pPr>
          </w:p>
        </w:tc>
        <w:tc>
          <w:tcPr>
            <w:tcW w:w="3959" w:type="dxa"/>
            <w:gridSpan w:val="4"/>
            <w:tcBorders>
              <w:bottom w:val="single" w:color="auto" w:sz="4" w:space="0"/>
            </w:tcBorders>
          </w:tcPr>
          <w:p w14:paraId="108D04B8">
            <w:pPr>
              <w:rPr>
                <w:rFonts w:ascii="宋体" w:hAnsi="宋体"/>
              </w:rPr>
            </w:pPr>
            <w:r>
              <w:rPr>
                <w:rFonts w:hint="eastAsia" w:ascii="宋体" w:hAnsi="宋体"/>
              </w:rPr>
              <w:t xml:space="preserve">爆炸上限（％）  8.0     </w:t>
            </w:r>
          </w:p>
        </w:tc>
        <w:tc>
          <w:tcPr>
            <w:tcW w:w="3915" w:type="dxa"/>
            <w:gridSpan w:val="4"/>
          </w:tcPr>
          <w:p w14:paraId="6A4F920E">
            <w:pPr>
              <w:rPr>
                <w:rFonts w:ascii="宋体" w:hAnsi="宋体"/>
              </w:rPr>
            </w:pPr>
            <w:r>
              <w:rPr>
                <w:rFonts w:hint="eastAsia" w:ascii="宋体" w:hAnsi="宋体"/>
              </w:rPr>
              <w:t xml:space="preserve">最小点火能（mJ）   </w:t>
            </w:r>
          </w:p>
        </w:tc>
      </w:tr>
      <w:tr w14:paraId="3BAC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3CA03BC1">
            <w:pPr>
              <w:rPr>
                <w:rFonts w:ascii="宋体" w:hAnsi="宋体"/>
              </w:rPr>
            </w:pPr>
          </w:p>
        </w:tc>
        <w:tc>
          <w:tcPr>
            <w:tcW w:w="3959" w:type="dxa"/>
            <w:gridSpan w:val="4"/>
            <w:tcBorders>
              <w:bottom w:val="single" w:color="auto" w:sz="4" w:space="0"/>
            </w:tcBorders>
          </w:tcPr>
          <w:p w14:paraId="7A2925BE">
            <w:pPr>
              <w:rPr>
                <w:rFonts w:ascii="宋体" w:hAnsi="宋体"/>
              </w:rPr>
            </w:pPr>
            <w:r>
              <w:rPr>
                <w:rFonts w:hint="eastAsia" w:ascii="宋体" w:hAnsi="宋体"/>
              </w:rPr>
              <w:t>最大爆炸压力（MPa） 0.813</w:t>
            </w:r>
          </w:p>
        </w:tc>
        <w:tc>
          <w:tcPr>
            <w:tcW w:w="3915" w:type="dxa"/>
            <w:gridSpan w:val="4"/>
            <w:vMerge w:val="restart"/>
          </w:tcPr>
          <w:p w14:paraId="68108A2A">
            <w:pPr>
              <w:ind w:firstLine="420"/>
              <w:rPr>
                <w:rFonts w:ascii="宋体" w:hAnsi="宋体"/>
              </w:rPr>
            </w:pPr>
            <w:r>
              <w:rPr>
                <w:rFonts w:hint="eastAsia" w:ascii="宋体" w:hAnsi="宋体"/>
              </w:rPr>
              <w:t>危险特性：其蒸气与空气可形成爆炸性混合物。遇明火、高热极易燃烧爆炸。与氧化剂能发生强烈反应。其蒸气比空气重，能在较低处扩散到相当远的地方，遇明火会引着回燃。</w:t>
            </w:r>
          </w:p>
        </w:tc>
      </w:tr>
      <w:tr w14:paraId="2599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24557F91">
            <w:pPr>
              <w:rPr>
                <w:rFonts w:ascii="宋体" w:hAnsi="宋体"/>
              </w:rPr>
            </w:pPr>
          </w:p>
        </w:tc>
        <w:tc>
          <w:tcPr>
            <w:tcW w:w="3959" w:type="dxa"/>
            <w:gridSpan w:val="4"/>
            <w:tcBorders>
              <w:bottom w:val="single" w:color="auto" w:sz="4" w:space="0"/>
            </w:tcBorders>
          </w:tcPr>
          <w:p w14:paraId="7A25FB80">
            <w:pPr>
              <w:ind w:firstLine="420"/>
              <w:rPr>
                <w:rFonts w:ascii="宋体" w:hAnsi="宋体"/>
              </w:rPr>
            </w:pPr>
            <w:r>
              <w:rPr>
                <w:rFonts w:hint="eastAsia" w:ascii="宋体" w:hAnsi="宋体"/>
              </w:rPr>
              <w:t>灭火方法：喷水冷却容器，可能的话将容器从火场移至空旷处。灭火剂：泡沫、干粉、二氧化碳。用水灭火无效。</w:t>
            </w:r>
          </w:p>
        </w:tc>
        <w:tc>
          <w:tcPr>
            <w:tcW w:w="3915" w:type="dxa"/>
            <w:gridSpan w:val="4"/>
            <w:vMerge w:val="continue"/>
            <w:tcBorders>
              <w:bottom w:val="single" w:color="auto" w:sz="4" w:space="0"/>
            </w:tcBorders>
          </w:tcPr>
          <w:p w14:paraId="103480E2">
            <w:pPr>
              <w:rPr>
                <w:rFonts w:ascii="宋体" w:hAnsi="宋体"/>
              </w:rPr>
            </w:pPr>
          </w:p>
        </w:tc>
      </w:tr>
      <w:tr w14:paraId="0835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42E13034">
            <w:pPr>
              <w:rPr>
                <w:rFonts w:ascii="宋体" w:hAnsi="宋体"/>
              </w:rPr>
            </w:pPr>
            <w:r>
              <w:rPr>
                <w:rFonts w:hint="eastAsia" w:ascii="宋体" w:hAnsi="宋体"/>
              </w:rPr>
              <w:t>毒</w:t>
            </w:r>
          </w:p>
          <w:p w14:paraId="5A09BE8D">
            <w:pPr>
              <w:rPr>
                <w:rFonts w:ascii="宋体" w:hAnsi="宋体"/>
              </w:rPr>
            </w:pPr>
            <w:r>
              <w:rPr>
                <w:rFonts w:hint="eastAsia" w:ascii="宋体" w:hAnsi="宋体"/>
              </w:rPr>
              <w:t>性</w:t>
            </w:r>
          </w:p>
        </w:tc>
        <w:tc>
          <w:tcPr>
            <w:tcW w:w="3959" w:type="dxa"/>
            <w:gridSpan w:val="4"/>
          </w:tcPr>
          <w:p w14:paraId="272174B2">
            <w:pPr>
              <w:rPr>
                <w:rFonts w:ascii="宋体" w:hAnsi="宋体"/>
              </w:rPr>
            </w:pPr>
            <w:r>
              <w:rPr>
                <w:rFonts w:hint="eastAsia" w:ascii="宋体" w:hAnsi="宋体"/>
              </w:rPr>
              <w:t>急性毒性：LD50    67000mg／kg（小鼠经口）</w:t>
            </w:r>
          </w:p>
        </w:tc>
        <w:tc>
          <w:tcPr>
            <w:tcW w:w="3915" w:type="dxa"/>
            <w:gridSpan w:val="4"/>
          </w:tcPr>
          <w:p w14:paraId="69BD4837">
            <w:pPr>
              <w:rPr>
                <w:rFonts w:ascii="宋体" w:hAnsi="宋体"/>
              </w:rPr>
            </w:pPr>
            <w:r>
              <w:rPr>
                <w:rFonts w:hint="eastAsia" w:ascii="宋体" w:hAnsi="宋体"/>
              </w:rPr>
              <w:t>LG50   103000mg／m</w:t>
            </w:r>
            <w:r>
              <w:rPr>
                <w:rFonts w:hint="eastAsia" w:ascii="宋体" w:hAnsi="宋体"/>
                <w:vertAlign w:val="superscript"/>
              </w:rPr>
              <w:t>3</w:t>
            </w:r>
            <w:r>
              <w:rPr>
                <w:rFonts w:hint="eastAsia" w:ascii="宋体" w:hAnsi="宋体"/>
              </w:rPr>
              <w:t>，2小时（小鼠吸入）</w:t>
            </w:r>
          </w:p>
        </w:tc>
      </w:tr>
      <w:tr w14:paraId="18F5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061B85EF">
            <w:pPr>
              <w:rPr>
                <w:rFonts w:ascii="宋体" w:hAnsi="宋体"/>
              </w:rPr>
            </w:pPr>
          </w:p>
        </w:tc>
        <w:tc>
          <w:tcPr>
            <w:tcW w:w="7874" w:type="dxa"/>
            <w:gridSpan w:val="8"/>
          </w:tcPr>
          <w:p w14:paraId="409CFB59">
            <w:pPr>
              <w:rPr>
                <w:rFonts w:ascii="宋体" w:hAnsi="宋体"/>
              </w:rPr>
            </w:pPr>
            <w:r>
              <w:rPr>
                <w:rFonts w:hint="eastAsia" w:ascii="宋体" w:hAnsi="宋体"/>
              </w:rPr>
              <w:t>刺激性   人经眼：140PPm（8小时），轻度刺激。</w:t>
            </w:r>
          </w:p>
        </w:tc>
      </w:tr>
      <w:tr w14:paraId="482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13E6E91C">
            <w:pPr>
              <w:rPr>
                <w:rFonts w:ascii="宋体" w:hAnsi="宋体"/>
              </w:rPr>
            </w:pPr>
          </w:p>
        </w:tc>
        <w:tc>
          <w:tcPr>
            <w:tcW w:w="3953" w:type="dxa"/>
            <w:gridSpan w:val="3"/>
            <w:tcBorders>
              <w:bottom w:val="single" w:color="auto" w:sz="4" w:space="0"/>
            </w:tcBorders>
          </w:tcPr>
          <w:p w14:paraId="0092AD83">
            <w:pPr>
              <w:ind w:firstLine="420"/>
              <w:rPr>
                <w:rFonts w:ascii="宋体" w:hAnsi="宋体"/>
              </w:rPr>
            </w:pPr>
          </w:p>
          <w:p w14:paraId="3767F388">
            <w:pPr>
              <w:ind w:firstLine="420"/>
              <w:rPr>
                <w:rFonts w:ascii="宋体" w:hAnsi="宋体"/>
              </w:rPr>
            </w:pPr>
          </w:p>
          <w:p w14:paraId="60887F2C">
            <w:pPr>
              <w:ind w:firstLine="420"/>
              <w:rPr>
                <w:rFonts w:ascii="宋体" w:hAnsi="宋体"/>
              </w:rPr>
            </w:pPr>
          </w:p>
          <w:p w14:paraId="70A47412">
            <w:pPr>
              <w:ind w:firstLine="420"/>
              <w:rPr>
                <w:rFonts w:ascii="宋体" w:hAnsi="宋体"/>
              </w:rPr>
            </w:pPr>
          </w:p>
          <w:p w14:paraId="23DE8416">
            <w:pPr>
              <w:ind w:firstLine="420"/>
              <w:rPr>
                <w:rFonts w:ascii="宋体" w:hAnsi="宋体"/>
              </w:rPr>
            </w:pPr>
          </w:p>
          <w:p w14:paraId="6809D2B8">
            <w:pPr>
              <w:ind w:firstLine="420"/>
              <w:rPr>
                <w:rFonts w:ascii="宋体" w:hAnsi="宋体"/>
              </w:rPr>
            </w:pPr>
            <w:r>
              <w:rPr>
                <w:rFonts w:hint="eastAsia" w:ascii="宋体" w:hAnsi="宋体"/>
              </w:rPr>
              <w:t>慢性中毒：神经衰弱综合征、植物神经功能紊乱、周围神经病。严重中毒出现中毒性脑病，症状类似精神分裂症。皮肤损害。</w:t>
            </w:r>
          </w:p>
        </w:tc>
        <w:tc>
          <w:tcPr>
            <w:tcW w:w="3921" w:type="dxa"/>
            <w:gridSpan w:val="5"/>
            <w:tcBorders>
              <w:bottom w:val="single" w:color="auto" w:sz="4" w:space="0"/>
            </w:tcBorders>
          </w:tcPr>
          <w:p w14:paraId="418D0F65">
            <w:pPr>
              <w:ind w:firstLine="420"/>
              <w:rPr>
                <w:rFonts w:ascii="宋体" w:hAnsi="宋体"/>
              </w:rPr>
            </w:pPr>
            <w:r>
              <w:rPr>
                <w:rFonts w:hint="eastAsia" w:ascii="宋体" w:hAnsi="宋体"/>
              </w:rPr>
              <w:t>健康危害   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人性肺炎。溅人眼内可致角膜溃疡、穿孔，甚至失明。皮肤接触致急性接触性皮炎，甚至灼伤。吞咽引起急性胃肠炎，重者出现类似急性吸入中毒症状，并可引起肝、肾损害。</w:t>
            </w:r>
          </w:p>
        </w:tc>
      </w:tr>
      <w:tr w14:paraId="616D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761F1548">
            <w:pPr>
              <w:rPr>
                <w:rFonts w:ascii="宋体" w:hAnsi="宋体"/>
              </w:rPr>
            </w:pPr>
          </w:p>
          <w:p w14:paraId="4CF66A5A">
            <w:pPr>
              <w:rPr>
                <w:rFonts w:ascii="宋体" w:hAnsi="宋体"/>
              </w:rPr>
            </w:pPr>
          </w:p>
          <w:p w14:paraId="36C72486">
            <w:pPr>
              <w:rPr>
                <w:rFonts w:ascii="宋体" w:hAnsi="宋体"/>
              </w:rPr>
            </w:pPr>
            <w:r>
              <w:rPr>
                <w:rFonts w:hint="eastAsia" w:ascii="宋体" w:hAnsi="宋体"/>
              </w:rPr>
              <w:t>急</w:t>
            </w:r>
          </w:p>
          <w:p w14:paraId="146E1E9A">
            <w:pPr>
              <w:rPr>
                <w:rFonts w:ascii="宋体" w:hAnsi="宋体"/>
              </w:rPr>
            </w:pPr>
          </w:p>
          <w:p w14:paraId="3530309B">
            <w:pPr>
              <w:rPr>
                <w:rFonts w:ascii="宋体" w:hAnsi="宋体"/>
              </w:rPr>
            </w:pPr>
            <w:r>
              <w:rPr>
                <w:rFonts w:hint="eastAsia" w:ascii="宋体" w:hAnsi="宋体"/>
              </w:rPr>
              <w:t>救</w:t>
            </w:r>
          </w:p>
        </w:tc>
        <w:tc>
          <w:tcPr>
            <w:tcW w:w="3968" w:type="dxa"/>
            <w:gridSpan w:val="5"/>
            <w:tcBorders>
              <w:bottom w:val="single" w:color="auto" w:sz="4" w:space="0"/>
            </w:tcBorders>
          </w:tcPr>
          <w:p w14:paraId="1576A122">
            <w:pPr>
              <w:rPr>
                <w:rFonts w:ascii="宋体" w:hAnsi="宋体"/>
              </w:rPr>
            </w:pPr>
          </w:p>
          <w:p w14:paraId="2FD28F60">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149343F6">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435C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5535BC81">
            <w:pPr>
              <w:rPr>
                <w:rFonts w:ascii="宋体" w:hAnsi="宋体"/>
              </w:rPr>
            </w:pPr>
          </w:p>
        </w:tc>
        <w:tc>
          <w:tcPr>
            <w:tcW w:w="7874" w:type="dxa"/>
            <w:gridSpan w:val="8"/>
            <w:tcBorders>
              <w:bottom w:val="single" w:color="auto" w:sz="4" w:space="0"/>
            </w:tcBorders>
          </w:tcPr>
          <w:p w14:paraId="4067CB28">
            <w:pPr>
              <w:rPr>
                <w:rFonts w:ascii="宋体" w:hAnsi="宋体"/>
              </w:rPr>
            </w:pPr>
            <w:r>
              <w:rPr>
                <w:rFonts w:hint="eastAsia" w:ascii="宋体" w:hAnsi="宋体"/>
              </w:rPr>
              <w:t>食入   给饮牛奶或用植物油洗胃和灌肠。就医。</w:t>
            </w:r>
          </w:p>
        </w:tc>
      </w:tr>
      <w:tr w14:paraId="232F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1215223C">
            <w:pPr>
              <w:rPr>
                <w:rFonts w:ascii="宋体" w:hAnsi="宋体"/>
              </w:rPr>
            </w:pPr>
          </w:p>
          <w:p w14:paraId="13C61696">
            <w:pPr>
              <w:rPr>
                <w:rFonts w:ascii="宋体" w:hAnsi="宋体"/>
              </w:rPr>
            </w:pPr>
            <w:r>
              <w:rPr>
                <w:rFonts w:hint="eastAsia" w:ascii="宋体" w:hAnsi="宋体"/>
              </w:rPr>
              <w:t>防</w:t>
            </w:r>
          </w:p>
          <w:p w14:paraId="131F95FB">
            <w:pPr>
              <w:rPr>
                <w:rFonts w:ascii="宋体" w:hAnsi="宋体"/>
              </w:rPr>
            </w:pPr>
          </w:p>
          <w:p w14:paraId="15FAD8DB">
            <w:pPr>
              <w:rPr>
                <w:rFonts w:ascii="宋体" w:hAnsi="宋体"/>
              </w:rPr>
            </w:pPr>
            <w:r>
              <w:rPr>
                <w:rFonts w:hint="eastAsia" w:ascii="宋体" w:hAnsi="宋体"/>
              </w:rPr>
              <w:t>护</w:t>
            </w:r>
          </w:p>
        </w:tc>
        <w:tc>
          <w:tcPr>
            <w:tcW w:w="7874" w:type="dxa"/>
            <w:gridSpan w:val="8"/>
          </w:tcPr>
          <w:p w14:paraId="46AE786A">
            <w:pPr>
              <w:ind w:firstLine="420"/>
              <w:rPr>
                <w:rFonts w:ascii="宋体" w:hAnsi="宋体"/>
              </w:rPr>
            </w:pPr>
            <w:r>
              <w:rPr>
                <w:rFonts w:hint="eastAsia" w:ascii="宋体" w:hAnsi="宋体"/>
              </w:rPr>
              <w:t>呼吸系统防护 ：一般不需要特殊防护，高浓度接触时可佩戴自吸过滤式防毒面具（半面罩）。</w:t>
            </w:r>
          </w:p>
        </w:tc>
      </w:tr>
      <w:tr w14:paraId="1B0C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2DE4A1B1">
            <w:pPr>
              <w:rPr>
                <w:rFonts w:ascii="宋体" w:hAnsi="宋体"/>
              </w:rPr>
            </w:pPr>
          </w:p>
        </w:tc>
        <w:tc>
          <w:tcPr>
            <w:tcW w:w="3418" w:type="dxa"/>
          </w:tcPr>
          <w:p w14:paraId="5CF42496">
            <w:pPr>
              <w:rPr>
                <w:rFonts w:ascii="宋体" w:hAnsi="宋体"/>
              </w:rPr>
            </w:pPr>
            <w:r>
              <w:rPr>
                <w:rFonts w:hint="eastAsia" w:ascii="宋体" w:hAnsi="宋体"/>
              </w:rPr>
              <w:t>身体防护 ：穿防静电工作服。</w:t>
            </w:r>
          </w:p>
        </w:tc>
        <w:tc>
          <w:tcPr>
            <w:tcW w:w="4456" w:type="dxa"/>
            <w:gridSpan w:val="7"/>
            <w:vMerge w:val="restart"/>
          </w:tcPr>
          <w:p w14:paraId="08F78023">
            <w:pPr>
              <w:ind w:firstLine="420"/>
              <w:rPr>
                <w:rFonts w:ascii="宋体" w:hAnsi="宋体"/>
              </w:rPr>
            </w:pPr>
            <w:r>
              <w:rPr>
                <w:rFonts w:hint="eastAsia" w:ascii="宋体" w:hAnsi="宋体"/>
              </w:rPr>
              <w:t>眼睛防护    一般不需要特殊防护，高浓度接触时可戴化学安全防护眼镜。</w:t>
            </w:r>
          </w:p>
        </w:tc>
      </w:tr>
      <w:tr w14:paraId="238F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86818E7">
            <w:pPr>
              <w:rPr>
                <w:rFonts w:ascii="宋体" w:hAnsi="宋体"/>
              </w:rPr>
            </w:pPr>
          </w:p>
        </w:tc>
        <w:tc>
          <w:tcPr>
            <w:tcW w:w="3418" w:type="dxa"/>
          </w:tcPr>
          <w:p w14:paraId="18BCB9F7">
            <w:pPr>
              <w:rPr>
                <w:rFonts w:ascii="宋体" w:hAnsi="宋体"/>
              </w:rPr>
            </w:pPr>
            <w:r>
              <w:rPr>
                <w:rFonts w:hint="eastAsia" w:ascii="宋体" w:hAnsi="宋体"/>
              </w:rPr>
              <w:t>手防护    戴防苯耐油手套。</w:t>
            </w:r>
          </w:p>
        </w:tc>
        <w:tc>
          <w:tcPr>
            <w:tcW w:w="4456" w:type="dxa"/>
            <w:gridSpan w:val="7"/>
            <w:vMerge w:val="continue"/>
          </w:tcPr>
          <w:p w14:paraId="324D8011">
            <w:pPr>
              <w:rPr>
                <w:rFonts w:ascii="宋体" w:hAnsi="宋体"/>
              </w:rPr>
            </w:pPr>
          </w:p>
        </w:tc>
      </w:tr>
      <w:tr w14:paraId="31EF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44DAFD01">
            <w:pPr>
              <w:rPr>
                <w:rFonts w:ascii="宋体" w:hAnsi="宋体"/>
              </w:rPr>
            </w:pPr>
          </w:p>
        </w:tc>
        <w:tc>
          <w:tcPr>
            <w:tcW w:w="7874" w:type="dxa"/>
            <w:gridSpan w:val="8"/>
          </w:tcPr>
          <w:p w14:paraId="7F6F1DA8">
            <w:pPr>
              <w:rPr>
                <w:rFonts w:ascii="宋体" w:hAnsi="宋体"/>
              </w:rPr>
            </w:pPr>
            <w:r>
              <w:rPr>
                <w:rFonts w:hint="eastAsia" w:ascii="宋体" w:hAnsi="宋体"/>
              </w:rPr>
              <w:t>其他   工作现场严禁吸烟。避免长期反复接触。</w:t>
            </w:r>
          </w:p>
        </w:tc>
      </w:tr>
      <w:tr w14:paraId="4D8D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44B80C5">
            <w:pPr>
              <w:rPr>
                <w:rFonts w:ascii="宋体" w:hAnsi="宋体"/>
              </w:rPr>
            </w:pPr>
          </w:p>
          <w:p w14:paraId="2AA2A351">
            <w:pPr>
              <w:rPr>
                <w:rFonts w:ascii="宋体" w:hAnsi="宋体"/>
              </w:rPr>
            </w:pPr>
            <w:r>
              <w:rPr>
                <w:rFonts w:hint="eastAsia" w:ascii="宋体" w:hAnsi="宋体"/>
              </w:rPr>
              <w:t>泄漏处理</w:t>
            </w:r>
          </w:p>
        </w:tc>
        <w:tc>
          <w:tcPr>
            <w:tcW w:w="7874" w:type="dxa"/>
            <w:gridSpan w:val="8"/>
            <w:tcBorders>
              <w:bottom w:val="single" w:color="auto" w:sz="4" w:space="0"/>
            </w:tcBorders>
          </w:tcPr>
          <w:p w14:paraId="7E57C2C3">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1F5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2A5EAF9E">
            <w:pPr>
              <w:rPr>
                <w:rFonts w:ascii="宋体" w:hAnsi="宋体"/>
              </w:rPr>
            </w:pPr>
          </w:p>
          <w:p w14:paraId="61EBE0D8">
            <w:pPr>
              <w:rPr>
                <w:rFonts w:ascii="宋体" w:hAnsi="宋体"/>
              </w:rPr>
            </w:pPr>
            <w:r>
              <w:rPr>
                <w:rFonts w:hint="eastAsia" w:ascii="宋体" w:hAnsi="宋体"/>
              </w:rPr>
              <w:t>储</w:t>
            </w:r>
          </w:p>
          <w:p w14:paraId="1B8FC649">
            <w:pPr>
              <w:rPr>
                <w:rFonts w:ascii="宋体" w:hAnsi="宋体"/>
              </w:rPr>
            </w:pPr>
          </w:p>
          <w:p w14:paraId="047A54C0">
            <w:pPr>
              <w:rPr>
                <w:rFonts w:ascii="宋体" w:hAnsi="宋体"/>
              </w:rPr>
            </w:pPr>
          </w:p>
          <w:p w14:paraId="2DA7AFDE">
            <w:pPr>
              <w:rPr>
                <w:rFonts w:ascii="宋体" w:hAnsi="宋体"/>
              </w:rPr>
            </w:pPr>
            <w:r>
              <w:rPr>
                <w:rFonts w:hint="eastAsia" w:ascii="宋体" w:hAnsi="宋体"/>
              </w:rPr>
              <w:t>运</w:t>
            </w:r>
          </w:p>
        </w:tc>
        <w:tc>
          <w:tcPr>
            <w:tcW w:w="7874" w:type="dxa"/>
            <w:gridSpan w:val="8"/>
            <w:tcBorders>
              <w:bottom w:val="single" w:color="auto" w:sz="4" w:space="0"/>
            </w:tcBorders>
          </w:tcPr>
          <w:p w14:paraId="12561054">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6740E597">
      <w:pPr>
        <w:pStyle w:val="10"/>
        <w:jc w:val="center"/>
        <w:rPr>
          <w:rFonts w:ascii="宋体" w:hAnsi="宋体"/>
          <w:sz w:val="28"/>
        </w:rPr>
      </w:pPr>
      <w:r>
        <w:rPr>
          <w:rFonts w:hint="eastAsia" w:ascii="宋体" w:hAnsi="宋体"/>
          <w:sz w:val="28"/>
        </w:rPr>
        <w:t>柴油危险有害因素识别表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47FF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48" w:type="dxa"/>
            <w:vMerge w:val="restart"/>
          </w:tcPr>
          <w:p w14:paraId="57AA90D4">
            <w:pPr>
              <w:rPr>
                <w:rFonts w:ascii="宋体" w:hAnsi="宋体"/>
              </w:rPr>
            </w:pPr>
          </w:p>
          <w:p w14:paraId="78208583">
            <w:pPr>
              <w:rPr>
                <w:rFonts w:ascii="宋体" w:hAnsi="宋体"/>
              </w:rPr>
            </w:pPr>
            <w:r>
              <w:rPr>
                <w:rFonts w:hint="eastAsia" w:ascii="宋体" w:hAnsi="宋体"/>
              </w:rPr>
              <w:t>标识</w:t>
            </w:r>
          </w:p>
        </w:tc>
        <w:tc>
          <w:tcPr>
            <w:tcW w:w="3598" w:type="dxa"/>
            <w:gridSpan w:val="2"/>
          </w:tcPr>
          <w:p w14:paraId="2A3114F8">
            <w:pPr>
              <w:rPr>
                <w:rFonts w:ascii="宋体" w:hAnsi="宋体"/>
              </w:rPr>
            </w:pPr>
            <w:r>
              <w:rPr>
                <w:rFonts w:hint="eastAsia" w:ascii="宋体" w:hAnsi="宋体"/>
              </w:rPr>
              <w:t>中文名：柴油</w:t>
            </w:r>
          </w:p>
        </w:tc>
        <w:tc>
          <w:tcPr>
            <w:tcW w:w="4276" w:type="dxa"/>
            <w:gridSpan w:val="6"/>
          </w:tcPr>
          <w:p w14:paraId="3B2E1E42">
            <w:pPr>
              <w:rPr>
                <w:rFonts w:ascii="宋体" w:hAnsi="宋体"/>
                <w:lang w:val="de-DE"/>
              </w:rPr>
            </w:pPr>
            <w:r>
              <w:rPr>
                <w:rFonts w:hint="eastAsia" w:ascii="宋体" w:hAnsi="宋体"/>
              </w:rPr>
              <w:t>英文名</w:t>
            </w:r>
            <w:r>
              <w:rPr>
                <w:rFonts w:hint="eastAsia" w:ascii="宋体" w:hAnsi="宋体"/>
                <w:lang w:val="de-DE"/>
              </w:rPr>
              <w:t xml:space="preserve">    Diesel oil;Diesel fuel</w:t>
            </w:r>
          </w:p>
        </w:tc>
      </w:tr>
      <w:tr w14:paraId="49A8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05E45A6E">
            <w:pPr>
              <w:rPr>
                <w:rFonts w:ascii="宋体" w:hAnsi="宋体"/>
                <w:lang w:val="de-DE"/>
              </w:rPr>
            </w:pPr>
          </w:p>
        </w:tc>
        <w:tc>
          <w:tcPr>
            <w:tcW w:w="3598" w:type="dxa"/>
            <w:gridSpan w:val="2"/>
          </w:tcPr>
          <w:p w14:paraId="54BFA936">
            <w:pPr>
              <w:rPr>
                <w:rFonts w:ascii="宋体" w:hAnsi="宋体"/>
              </w:rPr>
            </w:pPr>
            <w:r>
              <w:rPr>
                <w:rFonts w:hint="eastAsia" w:ascii="宋体" w:hAnsi="宋体"/>
              </w:rPr>
              <w:t>分子式</w:t>
            </w:r>
          </w:p>
        </w:tc>
        <w:tc>
          <w:tcPr>
            <w:tcW w:w="1981" w:type="dxa"/>
            <w:gridSpan w:val="5"/>
          </w:tcPr>
          <w:p w14:paraId="3E67A897">
            <w:pPr>
              <w:rPr>
                <w:rFonts w:ascii="宋体" w:hAnsi="宋体"/>
              </w:rPr>
            </w:pPr>
            <w:r>
              <w:rPr>
                <w:rFonts w:hint="eastAsia" w:ascii="宋体" w:hAnsi="宋体"/>
              </w:rPr>
              <w:t>相对分子质量</w:t>
            </w:r>
          </w:p>
        </w:tc>
        <w:tc>
          <w:tcPr>
            <w:tcW w:w="2295" w:type="dxa"/>
          </w:tcPr>
          <w:p w14:paraId="607321BA">
            <w:pPr>
              <w:rPr>
                <w:rFonts w:ascii="宋体" w:hAnsi="宋体"/>
              </w:rPr>
            </w:pPr>
            <w:r>
              <w:rPr>
                <w:rFonts w:hint="eastAsia" w:ascii="宋体" w:hAnsi="宋体"/>
              </w:rPr>
              <w:t>UN编号：无</w:t>
            </w:r>
          </w:p>
        </w:tc>
      </w:tr>
      <w:tr w14:paraId="5543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C052FE3">
            <w:pPr>
              <w:rPr>
                <w:rFonts w:ascii="宋体" w:hAnsi="宋体"/>
              </w:rPr>
            </w:pPr>
          </w:p>
        </w:tc>
        <w:tc>
          <w:tcPr>
            <w:tcW w:w="3598" w:type="dxa"/>
            <w:gridSpan w:val="2"/>
          </w:tcPr>
          <w:p w14:paraId="79274D74">
            <w:pPr>
              <w:rPr>
                <w:rFonts w:ascii="宋体" w:hAnsi="宋体"/>
              </w:rPr>
            </w:pPr>
            <w:r>
              <w:rPr>
                <w:rFonts w:hint="eastAsia" w:ascii="宋体" w:hAnsi="宋体"/>
              </w:rPr>
              <w:t xml:space="preserve">危规号：     </w:t>
            </w:r>
          </w:p>
        </w:tc>
        <w:tc>
          <w:tcPr>
            <w:tcW w:w="4276" w:type="dxa"/>
            <w:gridSpan w:val="6"/>
          </w:tcPr>
          <w:p w14:paraId="47F983DD">
            <w:pPr>
              <w:rPr>
                <w:rFonts w:ascii="宋体" w:hAnsi="宋体"/>
              </w:rPr>
            </w:pPr>
            <w:r>
              <w:rPr>
                <w:rFonts w:hint="eastAsia" w:ascii="宋体" w:hAnsi="宋体"/>
              </w:rPr>
              <w:t xml:space="preserve">CAS号      </w:t>
            </w:r>
          </w:p>
        </w:tc>
      </w:tr>
      <w:tr w14:paraId="0F18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DD8BD7B">
            <w:pPr>
              <w:rPr>
                <w:rFonts w:ascii="宋体" w:hAnsi="宋体"/>
              </w:rPr>
            </w:pPr>
          </w:p>
          <w:p w14:paraId="1886CC65">
            <w:pPr>
              <w:rPr>
                <w:rFonts w:ascii="宋体" w:hAnsi="宋体"/>
              </w:rPr>
            </w:pPr>
            <w:r>
              <w:rPr>
                <w:rFonts w:hint="eastAsia" w:ascii="宋体" w:hAnsi="宋体"/>
              </w:rPr>
              <w:t>理</w:t>
            </w:r>
          </w:p>
          <w:p w14:paraId="0EE85BC6">
            <w:pPr>
              <w:rPr>
                <w:rFonts w:ascii="宋体" w:hAnsi="宋体"/>
              </w:rPr>
            </w:pPr>
            <w:r>
              <w:rPr>
                <w:rFonts w:hint="eastAsia" w:ascii="宋体" w:hAnsi="宋体"/>
              </w:rPr>
              <w:t>化</w:t>
            </w:r>
          </w:p>
          <w:p w14:paraId="4A9D05CD">
            <w:pPr>
              <w:rPr>
                <w:rFonts w:ascii="宋体" w:hAnsi="宋体"/>
              </w:rPr>
            </w:pPr>
            <w:r>
              <w:rPr>
                <w:rFonts w:hint="eastAsia" w:ascii="宋体" w:hAnsi="宋体"/>
              </w:rPr>
              <w:t>性</w:t>
            </w:r>
          </w:p>
          <w:p w14:paraId="6AA7C1AD">
            <w:pPr>
              <w:rPr>
                <w:rFonts w:ascii="宋体" w:hAnsi="宋体"/>
              </w:rPr>
            </w:pPr>
            <w:r>
              <w:rPr>
                <w:rFonts w:hint="eastAsia" w:ascii="宋体" w:hAnsi="宋体"/>
              </w:rPr>
              <w:t>质</w:t>
            </w:r>
          </w:p>
        </w:tc>
        <w:tc>
          <w:tcPr>
            <w:tcW w:w="4319" w:type="dxa"/>
            <w:gridSpan w:val="6"/>
          </w:tcPr>
          <w:p w14:paraId="317AE7AE">
            <w:pPr>
              <w:rPr>
                <w:rFonts w:ascii="宋体" w:hAnsi="宋体"/>
              </w:rPr>
            </w:pPr>
            <w:r>
              <w:rPr>
                <w:rFonts w:hint="eastAsia" w:ascii="宋体" w:hAnsi="宋体"/>
              </w:rPr>
              <w:t>危险性类别：第3类易燃液体</w:t>
            </w:r>
          </w:p>
        </w:tc>
        <w:tc>
          <w:tcPr>
            <w:tcW w:w="3555" w:type="dxa"/>
            <w:gridSpan w:val="2"/>
          </w:tcPr>
          <w:p w14:paraId="3ED42619">
            <w:pPr>
              <w:rPr>
                <w:rFonts w:ascii="宋体" w:hAnsi="宋体"/>
              </w:rPr>
            </w:pPr>
          </w:p>
        </w:tc>
      </w:tr>
      <w:tr w14:paraId="07DA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6951785C">
            <w:pPr>
              <w:rPr>
                <w:rFonts w:ascii="宋体" w:hAnsi="宋体"/>
              </w:rPr>
            </w:pPr>
          </w:p>
        </w:tc>
        <w:tc>
          <w:tcPr>
            <w:tcW w:w="3959" w:type="dxa"/>
            <w:gridSpan w:val="4"/>
          </w:tcPr>
          <w:p w14:paraId="5B3B40AE">
            <w:pPr>
              <w:rPr>
                <w:rFonts w:ascii="宋体" w:hAnsi="宋体"/>
              </w:rPr>
            </w:pPr>
            <w:r>
              <w:rPr>
                <w:rFonts w:hint="eastAsia" w:ascii="宋体" w:hAnsi="宋体"/>
              </w:rPr>
              <w:t xml:space="preserve">熔点（℃） ＜-18  </w:t>
            </w:r>
          </w:p>
        </w:tc>
        <w:tc>
          <w:tcPr>
            <w:tcW w:w="3915" w:type="dxa"/>
            <w:gridSpan w:val="4"/>
          </w:tcPr>
          <w:p w14:paraId="197250EE">
            <w:pPr>
              <w:rPr>
                <w:rFonts w:ascii="宋体" w:hAnsi="宋体"/>
              </w:rPr>
            </w:pPr>
            <w:r>
              <w:rPr>
                <w:rFonts w:hint="eastAsia" w:ascii="宋体" w:hAnsi="宋体"/>
              </w:rPr>
              <w:t>沸点（℃） 282-338</w:t>
            </w:r>
          </w:p>
        </w:tc>
      </w:tr>
      <w:tr w14:paraId="0DFA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3A4E6391">
            <w:pPr>
              <w:rPr>
                <w:rFonts w:ascii="宋体" w:hAnsi="宋体"/>
              </w:rPr>
            </w:pPr>
          </w:p>
        </w:tc>
        <w:tc>
          <w:tcPr>
            <w:tcW w:w="3959" w:type="dxa"/>
            <w:gridSpan w:val="4"/>
          </w:tcPr>
          <w:p w14:paraId="31B8D9C8">
            <w:pPr>
              <w:rPr>
                <w:rFonts w:ascii="宋体" w:hAnsi="宋体"/>
              </w:rPr>
            </w:pPr>
            <w:r>
              <w:rPr>
                <w:rFonts w:hint="eastAsia" w:ascii="宋体" w:hAnsi="宋体"/>
              </w:rPr>
              <w:t>相对密度（水＝1）0.87-0.9</w:t>
            </w:r>
          </w:p>
        </w:tc>
        <w:tc>
          <w:tcPr>
            <w:tcW w:w="3915" w:type="dxa"/>
            <w:gridSpan w:val="4"/>
          </w:tcPr>
          <w:p w14:paraId="2670E952">
            <w:pPr>
              <w:rPr>
                <w:rFonts w:ascii="宋体" w:hAnsi="宋体"/>
              </w:rPr>
            </w:pPr>
            <w:r>
              <w:rPr>
                <w:rFonts w:hint="eastAsia" w:ascii="宋体" w:hAnsi="宋体"/>
              </w:rPr>
              <w:t>相对密度（空气＝1）</w:t>
            </w:r>
          </w:p>
        </w:tc>
      </w:tr>
      <w:tr w14:paraId="3480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5299CBBE">
            <w:pPr>
              <w:rPr>
                <w:rFonts w:ascii="宋体" w:hAnsi="宋体"/>
              </w:rPr>
            </w:pPr>
          </w:p>
        </w:tc>
        <w:tc>
          <w:tcPr>
            <w:tcW w:w="3959" w:type="dxa"/>
            <w:gridSpan w:val="4"/>
          </w:tcPr>
          <w:p w14:paraId="2BE24989">
            <w:pPr>
              <w:rPr>
                <w:rFonts w:ascii="宋体" w:hAnsi="宋体"/>
              </w:rPr>
            </w:pPr>
            <w:r>
              <w:rPr>
                <w:rFonts w:hint="eastAsia" w:ascii="宋体" w:hAnsi="宋体"/>
              </w:rPr>
              <w:t>饱和蒸气压（KPa）</w:t>
            </w:r>
          </w:p>
        </w:tc>
        <w:tc>
          <w:tcPr>
            <w:tcW w:w="3915" w:type="dxa"/>
            <w:gridSpan w:val="4"/>
          </w:tcPr>
          <w:p w14:paraId="1629DD5D">
            <w:pPr>
              <w:rPr>
                <w:rFonts w:ascii="宋体" w:hAnsi="宋体"/>
              </w:rPr>
            </w:pPr>
            <w:r>
              <w:rPr>
                <w:rFonts w:hint="eastAsia" w:ascii="宋体" w:hAnsi="宋体"/>
              </w:rPr>
              <w:t>辛醇／水分配系数的对数值</w:t>
            </w:r>
          </w:p>
        </w:tc>
      </w:tr>
      <w:tr w14:paraId="7B47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292851B1">
            <w:pPr>
              <w:rPr>
                <w:rFonts w:ascii="宋体" w:hAnsi="宋体"/>
              </w:rPr>
            </w:pPr>
          </w:p>
        </w:tc>
        <w:tc>
          <w:tcPr>
            <w:tcW w:w="3959" w:type="dxa"/>
            <w:gridSpan w:val="4"/>
            <w:tcBorders>
              <w:bottom w:val="single" w:color="auto" w:sz="4" w:space="0"/>
            </w:tcBorders>
          </w:tcPr>
          <w:p w14:paraId="185E175D">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0E17325C">
            <w:pPr>
              <w:rPr>
                <w:rFonts w:ascii="宋体" w:hAnsi="宋体"/>
              </w:rPr>
            </w:pPr>
            <w:r>
              <w:rPr>
                <w:rFonts w:hint="eastAsia" w:ascii="宋体" w:hAnsi="宋体"/>
              </w:rPr>
              <w:t xml:space="preserve">临界温度（℃）     </w:t>
            </w:r>
          </w:p>
        </w:tc>
      </w:tr>
      <w:tr w14:paraId="4A2A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6E0F9B1">
            <w:pPr>
              <w:rPr>
                <w:rFonts w:ascii="宋体" w:hAnsi="宋体"/>
              </w:rPr>
            </w:pPr>
          </w:p>
        </w:tc>
        <w:tc>
          <w:tcPr>
            <w:tcW w:w="3959" w:type="dxa"/>
            <w:gridSpan w:val="4"/>
            <w:tcBorders>
              <w:bottom w:val="single" w:color="auto" w:sz="4" w:space="0"/>
            </w:tcBorders>
          </w:tcPr>
          <w:p w14:paraId="29411411">
            <w:pPr>
              <w:rPr>
                <w:rFonts w:ascii="宋体" w:hAnsi="宋体"/>
              </w:rPr>
            </w:pPr>
            <w:r>
              <w:rPr>
                <w:rFonts w:hint="eastAsia" w:ascii="宋体" w:hAnsi="宋体"/>
              </w:rPr>
              <w:t>溶解性  :无</w:t>
            </w:r>
          </w:p>
        </w:tc>
        <w:tc>
          <w:tcPr>
            <w:tcW w:w="3915" w:type="dxa"/>
            <w:gridSpan w:val="4"/>
            <w:tcBorders>
              <w:bottom w:val="single" w:color="auto" w:sz="4" w:space="0"/>
            </w:tcBorders>
          </w:tcPr>
          <w:p w14:paraId="65A0438A">
            <w:pPr>
              <w:ind w:left="87"/>
              <w:rPr>
                <w:rFonts w:ascii="宋体" w:hAnsi="宋体"/>
              </w:rPr>
            </w:pPr>
            <w:r>
              <w:rPr>
                <w:rFonts w:hint="eastAsia" w:ascii="宋体" w:hAnsi="宋体"/>
              </w:rPr>
              <w:t>临界压力（Mpa）</w:t>
            </w:r>
          </w:p>
        </w:tc>
      </w:tr>
      <w:tr w14:paraId="7C16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30A05ABC">
            <w:pPr>
              <w:rPr>
                <w:rFonts w:ascii="宋体" w:hAnsi="宋体"/>
              </w:rPr>
            </w:pPr>
            <w:r>
              <w:rPr>
                <w:rFonts w:hint="eastAsia" w:ascii="宋体" w:hAnsi="宋体"/>
              </w:rPr>
              <w:t>危</w:t>
            </w:r>
          </w:p>
          <w:p w14:paraId="1E16BEBD">
            <w:pPr>
              <w:rPr>
                <w:rFonts w:ascii="宋体" w:hAnsi="宋体"/>
              </w:rPr>
            </w:pPr>
            <w:r>
              <w:rPr>
                <w:rFonts w:hint="eastAsia" w:ascii="宋体" w:hAnsi="宋体"/>
              </w:rPr>
              <w:t>险</w:t>
            </w:r>
          </w:p>
          <w:p w14:paraId="1BA5AB5B">
            <w:pPr>
              <w:rPr>
                <w:rFonts w:ascii="宋体" w:hAnsi="宋体"/>
              </w:rPr>
            </w:pPr>
            <w:r>
              <w:rPr>
                <w:rFonts w:hint="eastAsia" w:ascii="宋体" w:hAnsi="宋体"/>
              </w:rPr>
              <w:t>性</w:t>
            </w:r>
          </w:p>
          <w:p w14:paraId="4302AC93">
            <w:pPr>
              <w:rPr>
                <w:rFonts w:ascii="宋体" w:hAnsi="宋体"/>
              </w:rPr>
            </w:pPr>
            <w:r>
              <w:rPr>
                <w:rFonts w:hint="eastAsia" w:ascii="宋体" w:hAnsi="宋体"/>
              </w:rPr>
              <w:t>概</w:t>
            </w:r>
          </w:p>
          <w:p w14:paraId="12CF9B7B">
            <w:pPr>
              <w:rPr>
                <w:rFonts w:ascii="宋体" w:hAnsi="宋体"/>
              </w:rPr>
            </w:pPr>
            <w:r>
              <w:rPr>
                <w:rFonts w:hint="eastAsia" w:ascii="宋体" w:hAnsi="宋体"/>
              </w:rPr>
              <w:t>述及消防</w:t>
            </w:r>
          </w:p>
        </w:tc>
        <w:tc>
          <w:tcPr>
            <w:tcW w:w="3959" w:type="dxa"/>
            <w:gridSpan w:val="4"/>
          </w:tcPr>
          <w:p w14:paraId="144CD235">
            <w:pPr>
              <w:rPr>
                <w:rFonts w:ascii="宋体" w:hAnsi="宋体"/>
              </w:rPr>
            </w:pPr>
            <w:r>
              <w:rPr>
                <w:rFonts w:hint="eastAsia" w:ascii="宋体" w:hAnsi="宋体"/>
              </w:rPr>
              <w:t xml:space="preserve">燃烧性 :  易燃          </w:t>
            </w:r>
          </w:p>
        </w:tc>
        <w:tc>
          <w:tcPr>
            <w:tcW w:w="3915" w:type="dxa"/>
            <w:gridSpan w:val="4"/>
          </w:tcPr>
          <w:p w14:paraId="1C0486CF">
            <w:pPr>
              <w:rPr>
                <w:rFonts w:ascii="宋体" w:hAnsi="宋体"/>
              </w:rPr>
            </w:pPr>
            <w:r>
              <w:rPr>
                <w:rFonts w:hint="eastAsia" w:ascii="宋体" w:hAnsi="宋体"/>
              </w:rPr>
              <w:t>闪点（℃）&gt;55</w:t>
            </w:r>
          </w:p>
        </w:tc>
      </w:tr>
      <w:tr w14:paraId="23EE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584C971B">
            <w:pPr>
              <w:rPr>
                <w:rFonts w:ascii="宋体" w:hAnsi="宋体"/>
              </w:rPr>
            </w:pPr>
          </w:p>
        </w:tc>
        <w:tc>
          <w:tcPr>
            <w:tcW w:w="3959" w:type="dxa"/>
            <w:gridSpan w:val="4"/>
            <w:tcBorders>
              <w:bottom w:val="single" w:color="auto" w:sz="4" w:space="0"/>
            </w:tcBorders>
          </w:tcPr>
          <w:p w14:paraId="5D6EC0E6">
            <w:pPr>
              <w:rPr>
                <w:rFonts w:ascii="宋体" w:hAnsi="宋体"/>
              </w:rPr>
            </w:pPr>
            <w:r>
              <w:rPr>
                <w:rFonts w:hint="eastAsia" w:ascii="宋体" w:hAnsi="宋体"/>
              </w:rPr>
              <w:t xml:space="preserve">爆炸下限（％）无资料     </w:t>
            </w:r>
          </w:p>
        </w:tc>
        <w:tc>
          <w:tcPr>
            <w:tcW w:w="3915" w:type="dxa"/>
            <w:gridSpan w:val="4"/>
            <w:tcBorders>
              <w:top w:val="nil"/>
            </w:tcBorders>
          </w:tcPr>
          <w:p w14:paraId="42A94853">
            <w:pPr>
              <w:rPr>
                <w:rFonts w:ascii="宋体" w:hAnsi="宋体"/>
              </w:rPr>
            </w:pPr>
            <w:r>
              <w:rPr>
                <w:rFonts w:hint="eastAsia" w:ascii="宋体" w:hAnsi="宋体"/>
              </w:rPr>
              <w:t>引燃温度（℃） 257</w:t>
            </w:r>
          </w:p>
        </w:tc>
      </w:tr>
      <w:tr w14:paraId="5F3D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50E4B0A">
            <w:pPr>
              <w:rPr>
                <w:rFonts w:ascii="宋体" w:hAnsi="宋体"/>
              </w:rPr>
            </w:pPr>
          </w:p>
        </w:tc>
        <w:tc>
          <w:tcPr>
            <w:tcW w:w="3959" w:type="dxa"/>
            <w:gridSpan w:val="4"/>
            <w:tcBorders>
              <w:bottom w:val="single" w:color="auto" w:sz="4" w:space="0"/>
            </w:tcBorders>
          </w:tcPr>
          <w:p w14:paraId="1E544047">
            <w:pPr>
              <w:rPr>
                <w:rFonts w:ascii="宋体" w:hAnsi="宋体"/>
              </w:rPr>
            </w:pPr>
            <w:r>
              <w:rPr>
                <w:rFonts w:hint="eastAsia" w:ascii="宋体" w:hAnsi="宋体"/>
              </w:rPr>
              <w:t xml:space="preserve">爆炸上限（％）  无资料  </w:t>
            </w:r>
          </w:p>
        </w:tc>
        <w:tc>
          <w:tcPr>
            <w:tcW w:w="3915" w:type="dxa"/>
            <w:gridSpan w:val="4"/>
          </w:tcPr>
          <w:p w14:paraId="26E05346">
            <w:pPr>
              <w:rPr>
                <w:rFonts w:ascii="宋体" w:hAnsi="宋体"/>
              </w:rPr>
            </w:pPr>
            <w:r>
              <w:rPr>
                <w:rFonts w:hint="eastAsia" w:ascii="宋体" w:hAnsi="宋体"/>
              </w:rPr>
              <w:t xml:space="preserve">最小点火能（mJ）   </w:t>
            </w:r>
          </w:p>
        </w:tc>
      </w:tr>
      <w:tr w14:paraId="778B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66639DEC">
            <w:pPr>
              <w:rPr>
                <w:rFonts w:ascii="宋体" w:hAnsi="宋体"/>
              </w:rPr>
            </w:pPr>
          </w:p>
        </w:tc>
        <w:tc>
          <w:tcPr>
            <w:tcW w:w="3959" w:type="dxa"/>
            <w:gridSpan w:val="4"/>
            <w:tcBorders>
              <w:bottom w:val="single" w:color="auto" w:sz="4" w:space="0"/>
            </w:tcBorders>
          </w:tcPr>
          <w:p w14:paraId="01FE04B1">
            <w:pPr>
              <w:rPr>
                <w:rFonts w:ascii="宋体" w:hAnsi="宋体"/>
              </w:rPr>
            </w:pPr>
            <w:r>
              <w:rPr>
                <w:rFonts w:hint="eastAsia" w:ascii="宋体" w:hAnsi="宋体"/>
              </w:rPr>
              <w:t xml:space="preserve">最大爆炸压力（MPa） </w:t>
            </w:r>
          </w:p>
        </w:tc>
        <w:tc>
          <w:tcPr>
            <w:tcW w:w="3915" w:type="dxa"/>
            <w:gridSpan w:val="4"/>
            <w:vMerge w:val="restart"/>
          </w:tcPr>
          <w:p w14:paraId="2CBBD3FD">
            <w:pPr>
              <w:ind w:firstLine="420"/>
              <w:rPr>
                <w:rFonts w:ascii="宋体" w:hAnsi="宋体"/>
              </w:rPr>
            </w:pPr>
            <w:r>
              <w:rPr>
                <w:rFonts w:hint="eastAsia" w:ascii="宋体" w:hAnsi="宋体"/>
              </w:rPr>
              <w:t>危险特性：皮肤接触柴油可以引起接触性皮炎、油性痔疮，吸入可引起吸入性肺炎。能经胎盘进入胎儿血中。柴油废气可引起眼、鼻刺激症状，头晕及头痛。</w:t>
            </w:r>
          </w:p>
        </w:tc>
      </w:tr>
      <w:tr w14:paraId="2B59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3B8A4370">
            <w:pPr>
              <w:rPr>
                <w:rFonts w:ascii="宋体" w:hAnsi="宋体"/>
              </w:rPr>
            </w:pPr>
          </w:p>
        </w:tc>
        <w:tc>
          <w:tcPr>
            <w:tcW w:w="3959" w:type="dxa"/>
            <w:gridSpan w:val="4"/>
            <w:tcBorders>
              <w:bottom w:val="single" w:color="auto" w:sz="4" w:space="0"/>
            </w:tcBorders>
          </w:tcPr>
          <w:p w14:paraId="137B0E0F">
            <w:pPr>
              <w:ind w:firstLine="420"/>
              <w:rPr>
                <w:rFonts w:ascii="宋体" w:hAnsi="宋体"/>
              </w:rPr>
            </w:pPr>
            <w:r>
              <w:rPr>
                <w:rFonts w:hint="eastAsia" w:ascii="宋体" w:hAnsi="宋体"/>
              </w:rPr>
              <w:t>灭火方法：泡沫、干粉、二氧化碳、沙土。用水灭火无效。</w:t>
            </w:r>
          </w:p>
        </w:tc>
        <w:tc>
          <w:tcPr>
            <w:tcW w:w="3915" w:type="dxa"/>
            <w:gridSpan w:val="4"/>
            <w:vMerge w:val="continue"/>
            <w:tcBorders>
              <w:bottom w:val="single" w:color="auto" w:sz="4" w:space="0"/>
            </w:tcBorders>
          </w:tcPr>
          <w:p w14:paraId="02F9D4E3">
            <w:pPr>
              <w:rPr>
                <w:rFonts w:ascii="宋体" w:hAnsi="宋体"/>
              </w:rPr>
            </w:pPr>
          </w:p>
        </w:tc>
      </w:tr>
      <w:tr w14:paraId="10C9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5C2AC521">
            <w:pPr>
              <w:rPr>
                <w:rFonts w:ascii="宋体" w:hAnsi="宋体"/>
              </w:rPr>
            </w:pPr>
            <w:r>
              <w:rPr>
                <w:rFonts w:hint="eastAsia" w:ascii="宋体" w:hAnsi="宋体"/>
              </w:rPr>
              <w:t>毒性</w:t>
            </w:r>
          </w:p>
        </w:tc>
        <w:tc>
          <w:tcPr>
            <w:tcW w:w="3959" w:type="dxa"/>
            <w:gridSpan w:val="4"/>
          </w:tcPr>
          <w:p w14:paraId="7160E8E3">
            <w:pPr>
              <w:rPr>
                <w:rFonts w:ascii="宋体" w:hAnsi="宋体"/>
              </w:rPr>
            </w:pPr>
            <w:r>
              <w:rPr>
                <w:rFonts w:hint="eastAsia" w:ascii="宋体" w:hAnsi="宋体"/>
              </w:rPr>
              <w:t xml:space="preserve">急性毒性：LD50    </w:t>
            </w:r>
          </w:p>
        </w:tc>
        <w:tc>
          <w:tcPr>
            <w:tcW w:w="3915" w:type="dxa"/>
            <w:gridSpan w:val="4"/>
          </w:tcPr>
          <w:p w14:paraId="0F8E5E43">
            <w:pPr>
              <w:rPr>
                <w:rFonts w:ascii="宋体" w:hAnsi="宋体"/>
              </w:rPr>
            </w:pPr>
            <w:r>
              <w:rPr>
                <w:rFonts w:hint="eastAsia" w:ascii="宋体" w:hAnsi="宋体"/>
              </w:rPr>
              <w:t xml:space="preserve">LG50  </w:t>
            </w:r>
          </w:p>
        </w:tc>
      </w:tr>
      <w:tr w14:paraId="69FD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5E1F4AF3">
            <w:pPr>
              <w:rPr>
                <w:rFonts w:ascii="宋体" w:hAnsi="宋体"/>
              </w:rPr>
            </w:pPr>
          </w:p>
        </w:tc>
        <w:tc>
          <w:tcPr>
            <w:tcW w:w="7874" w:type="dxa"/>
            <w:gridSpan w:val="8"/>
          </w:tcPr>
          <w:p w14:paraId="4786DDAB">
            <w:pPr>
              <w:rPr>
                <w:rFonts w:ascii="宋体" w:hAnsi="宋体"/>
              </w:rPr>
            </w:pPr>
            <w:r>
              <w:rPr>
                <w:rFonts w:hint="eastAsia" w:ascii="宋体" w:hAnsi="宋体"/>
              </w:rPr>
              <w:t>刺激性   人经眼：140PPm（8小时），轻度刺激。</w:t>
            </w:r>
          </w:p>
        </w:tc>
      </w:tr>
      <w:tr w14:paraId="66AD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648" w:type="dxa"/>
            <w:vMerge w:val="restart"/>
          </w:tcPr>
          <w:p w14:paraId="3468115D">
            <w:pPr>
              <w:rPr>
                <w:rFonts w:ascii="宋体" w:hAnsi="宋体"/>
              </w:rPr>
            </w:pPr>
          </w:p>
          <w:p w14:paraId="10B59958">
            <w:pPr>
              <w:rPr>
                <w:rFonts w:ascii="宋体" w:hAnsi="宋体"/>
              </w:rPr>
            </w:pPr>
          </w:p>
          <w:p w14:paraId="616354C9">
            <w:pPr>
              <w:rPr>
                <w:rFonts w:ascii="宋体" w:hAnsi="宋体"/>
              </w:rPr>
            </w:pPr>
            <w:r>
              <w:rPr>
                <w:rFonts w:hint="eastAsia" w:ascii="宋体" w:hAnsi="宋体"/>
              </w:rPr>
              <w:t>对人体危害</w:t>
            </w:r>
          </w:p>
        </w:tc>
        <w:tc>
          <w:tcPr>
            <w:tcW w:w="7874" w:type="dxa"/>
            <w:gridSpan w:val="8"/>
          </w:tcPr>
          <w:p w14:paraId="6BB87175">
            <w:pPr>
              <w:rPr>
                <w:rFonts w:ascii="宋体" w:hAnsi="宋体"/>
              </w:rPr>
            </w:pPr>
            <w:r>
              <w:rPr>
                <w:rFonts w:hint="eastAsia" w:ascii="宋体" w:hAnsi="宋体"/>
              </w:rPr>
              <w:t>侵入途径： 吸入、食入、经皮吸收。</w:t>
            </w:r>
          </w:p>
        </w:tc>
      </w:tr>
      <w:tr w14:paraId="2348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6A5500B1">
            <w:pPr>
              <w:rPr>
                <w:rFonts w:ascii="宋体" w:hAnsi="宋体"/>
              </w:rPr>
            </w:pPr>
          </w:p>
        </w:tc>
        <w:tc>
          <w:tcPr>
            <w:tcW w:w="3953" w:type="dxa"/>
            <w:gridSpan w:val="3"/>
            <w:tcBorders>
              <w:bottom w:val="single" w:color="auto" w:sz="4" w:space="0"/>
            </w:tcBorders>
          </w:tcPr>
          <w:p w14:paraId="17FB7337">
            <w:pPr>
              <w:ind w:firstLine="420"/>
              <w:rPr>
                <w:rFonts w:ascii="宋体" w:hAnsi="宋体"/>
              </w:rPr>
            </w:pPr>
            <w:r>
              <w:rPr>
                <w:rFonts w:hint="eastAsia" w:ascii="宋体" w:hAnsi="宋体"/>
              </w:rPr>
              <w:t>慢性中毒：无资料</w:t>
            </w:r>
          </w:p>
        </w:tc>
        <w:tc>
          <w:tcPr>
            <w:tcW w:w="3921" w:type="dxa"/>
            <w:gridSpan w:val="5"/>
            <w:tcBorders>
              <w:bottom w:val="single" w:color="auto" w:sz="4" w:space="0"/>
            </w:tcBorders>
          </w:tcPr>
          <w:p w14:paraId="5BE51580">
            <w:pPr>
              <w:ind w:firstLine="420"/>
              <w:rPr>
                <w:rFonts w:ascii="宋体" w:hAnsi="宋体"/>
              </w:rPr>
            </w:pPr>
            <w:r>
              <w:rPr>
                <w:rFonts w:hint="eastAsia" w:ascii="宋体" w:hAnsi="宋体"/>
              </w:rPr>
              <w:t>健康危害   皮肤接触菜油可以引起接触性皮炎、油性痔疮，吸入可引起吸入性肺炎。能经胎盘进入胎儿血中。柴油废气可引起眼、鼻刺激症状，头晕及头痛。</w:t>
            </w:r>
          </w:p>
        </w:tc>
      </w:tr>
      <w:tr w14:paraId="20F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413B8F48">
            <w:pPr>
              <w:rPr>
                <w:rFonts w:ascii="宋体" w:hAnsi="宋体"/>
              </w:rPr>
            </w:pPr>
          </w:p>
          <w:p w14:paraId="445BF81B">
            <w:pPr>
              <w:rPr>
                <w:rFonts w:ascii="宋体" w:hAnsi="宋体"/>
              </w:rPr>
            </w:pPr>
          </w:p>
          <w:p w14:paraId="15B9BBA6">
            <w:pPr>
              <w:rPr>
                <w:rFonts w:ascii="宋体" w:hAnsi="宋体"/>
              </w:rPr>
            </w:pPr>
            <w:r>
              <w:rPr>
                <w:rFonts w:hint="eastAsia" w:ascii="宋体" w:hAnsi="宋体"/>
              </w:rPr>
              <w:t>急</w:t>
            </w:r>
          </w:p>
          <w:p w14:paraId="090723FC">
            <w:pPr>
              <w:rPr>
                <w:rFonts w:ascii="宋体" w:hAnsi="宋体"/>
              </w:rPr>
            </w:pPr>
          </w:p>
          <w:p w14:paraId="7E19ACB6">
            <w:pPr>
              <w:rPr>
                <w:rFonts w:ascii="宋体" w:hAnsi="宋体"/>
              </w:rPr>
            </w:pPr>
            <w:r>
              <w:rPr>
                <w:rFonts w:hint="eastAsia" w:ascii="宋体" w:hAnsi="宋体"/>
              </w:rPr>
              <w:t>救</w:t>
            </w:r>
          </w:p>
        </w:tc>
        <w:tc>
          <w:tcPr>
            <w:tcW w:w="3968" w:type="dxa"/>
            <w:gridSpan w:val="5"/>
            <w:tcBorders>
              <w:bottom w:val="single" w:color="auto" w:sz="4" w:space="0"/>
            </w:tcBorders>
          </w:tcPr>
          <w:p w14:paraId="01F2CCA0">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33FF184A">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65B7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408C56CB">
            <w:pPr>
              <w:rPr>
                <w:rFonts w:ascii="宋体" w:hAnsi="宋体"/>
              </w:rPr>
            </w:pPr>
          </w:p>
        </w:tc>
        <w:tc>
          <w:tcPr>
            <w:tcW w:w="7874" w:type="dxa"/>
            <w:gridSpan w:val="8"/>
            <w:tcBorders>
              <w:bottom w:val="single" w:color="auto" w:sz="4" w:space="0"/>
            </w:tcBorders>
          </w:tcPr>
          <w:p w14:paraId="1D7B57BD">
            <w:pPr>
              <w:rPr>
                <w:rFonts w:ascii="宋体" w:hAnsi="宋体"/>
              </w:rPr>
            </w:pPr>
            <w:r>
              <w:rPr>
                <w:rFonts w:hint="eastAsia" w:ascii="宋体" w:hAnsi="宋体"/>
              </w:rPr>
              <w:t>食入   给饮牛奶或用植物油洗胃和灌肠。就医。</w:t>
            </w:r>
          </w:p>
        </w:tc>
      </w:tr>
      <w:tr w14:paraId="6EE9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682F53D9">
            <w:pPr>
              <w:rPr>
                <w:rFonts w:ascii="宋体" w:hAnsi="宋体"/>
              </w:rPr>
            </w:pPr>
          </w:p>
          <w:p w14:paraId="3535B523">
            <w:pPr>
              <w:rPr>
                <w:rFonts w:ascii="宋体" w:hAnsi="宋体"/>
              </w:rPr>
            </w:pPr>
            <w:r>
              <w:rPr>
                <w:rFonts w:hint="eastAsia" w:ascii="宋体" w:hAnsi="宋体"/>
              </w:rPr>
              <w:t>防</w:t>
            </w:r>
          </w:p>
          <w:p w14:paraId="39BFECC5">
            <w:pPr>
              <w:rPr>
                <w:rFonts w:ascii="宋体" w:hAnsi="宋体"/>
              </w:rPr>
            </w:pPr>
          </w:p>
          <w:p w14:paraId="0442F3A6">
            <w:pPr>
              <w:rPr>
                <w:rFonts w:ascii="宋体" w:hAnsi="宋体"/>
              </w:rPr>
            </w:pPr>
            <w:r>
              <w:rPr>
                <w:rFonts w:hint="eastAsia" w:ascii="宋体" w:hAnsi="宋体"/>
              </w:rPr>
              <w:t>护</w:t>
            </w:r>
          </w:p>
        </w:tc>
        <w:tc>
          <w:tcPr>
            <w:tcW w:w="7874" w:type="dxa"/>
            <w:gridSpan w:val="8"/>
          </w:tcPr>
          <w:p w14:paraId="7634E104">
            <w:pPr>
              <w:ind w:firstLine="420"/>
              <w:rPr>
                <w:rFonts w:ascii="宋体" w:hAnsi="宋体"/>
              </w:rPr>
            </w:pPr>
            <w:r>
              <w:rPr>
                <w:rFonts w:hint="eastAsia" w:ascii="宋体" w:hAnsi="宋体"/>
              </w:rPr>
              <w:t>呼吸系统防护 ：一般不需要特殊防护，高浓度接触时可佩戴自吸过滤式防毒面具（半面罩）。</w:t>
            </w:r>
          </w:p>
        </w:tc>
      </w:tr>
      <w:tr w14:paraId="4A58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6E254F29">
            <w:pPr>
              <w:rPr>
                <w:rFonts w:ascii="宋体" w:hAnsi="宋体"/>
              </w:rPr>
            </w:pPr>
          </w:p>
        </w:tc>
        <w:tc>
          <w:tcPr>
            <w:tcW w:w="3418" w:type="dxa"/>
          </w:tcPr>
          <w:p w14:paraId="5F25C113">
            <w:pPr>
              <w:rPr>
                <w:rFonts w:ascii="宋体" w:hAnsi="宋体"/>
              </w:rPr>
            </w:pPr>
            <w:r>
              <w:rPr>
                <w:rFonts w:hint="eastAsia" w:ascii="宋体" w:hAnsi="宋体"/>
              </w:rPr>
              <w:t>身体防护 ：穿防静电工作服。</w:t>
            </w:r>
          </w:p>
        </w:tc>
        <w:tc>
          <w:tcPr>
            <w:tcW w:w="4456" w:type="dxa"/>
            <w:gridSpan w:val="7"/>
            <w:vMerge w:val="restart"/>
          </w:tcPr>
          <w:p w14:paraId="444F857B">
            <w:pPr>
              <w:ind w:firstLine="420"/>
              <w:rPr>
                <w:rFonts w:ascii="宋体" w:hAnsi="宋体"/>
              </w:rPr>
            </w:pPr>
            <w:r>
              <w:rPr>
                <w:rFonts w:hint="eastAsia" w:ascii="宋体" w:hAnsi="宋体"/>
              </w:rPr>
              <w:t>眼睛防护    一般不需要特殊防护，高浓度接触时可戴化学安全防护眼镜。</w:t>
            </w:r>
          </w:p>
        </w:tc>
      </w:tr>
      <w:tr w14:paraId="2D61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B695B79">
            <w:pPr>
              <w:rPr>
                <w:rFonts w:ascii="宋体" w:hAnsi="宋体"/>
              </w:rPr>
            </w:pPr>
          </w:p>
        </w:tc>
        <w:tc>
          <w:tcPr>
            <w:tcW w:w="3418" w:type="dxa"/>
          </w:tcPr>
          <w:p w14:paraId="132898C9">
            <w:pPr>
              <w:rPr>
                <w:rFonts w:ascii="宋体" w:hAnsi="宋体"/>
              </w:rPr>
            </w:pPr>
            <w:r>
              <w:rPr>
                <w:rFonts w:hint="eastAsia" w:ascii="宋体" w:hAnsi="宋体"/>
              </w:rPr>
              <w:t>手防护    戴防苯耐油手套。</w:t>
            </w:r>
          </w:p>
        </w:tc>
        <w:tc>
          <w:tcPr>
            <w:tcW w:w="4456" w:type="dxa"/>
            <w:gridSpan w:val="7"/>
            <w:vMerge w:val="continue"/>
          </w:tcPr>
          <w:p w14:paraId="76E0285A">
            <w:pPr>
              <w:rPr>
                <w:rFonts w:ascii="宋体" w:hAnsi="宋体"/>
              </w:rPr>
            </w:pPr>
          </w:p>
        </w:tc>
      </w:tr>
      <w:tr w14:paraId="4CB9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7470B49A">
            <w:pPr>
              <w:rPr>
                <w:rFonts w:ascii="宋体" w:hAnsi="宋体"/>
              </w:rPr>
            </w:pPr>
          </w:p>
        </w:tc>
        <w:tc>
          <w:tcPr>
            <w:tcW w:w="7874" w:type="dxa"/>
            <w:gridSpan w:val="8"/>
          </w:tcPr>
          <w:p w14:paraId="34395290">
            <w:pPr>
              <w:rPr>
                <w:rFonts w:ascii="宋体" w:hAnsi="宋体"/>
              </w:rPr>
            </w:pPr>
            <w:r>
              <w:rPr>
                <w:rFonts w:hint="eastAsia" w:ascii="宋体" w:hAnsi="宋体"/>
              </w:rPr>
              <w:t>其他   工作现场严禁吸烟。避免长期反复接触。</w:t>
            </w:r>
          </w:p>
        </w:tc>
      </w:tr>
      <w:tr w14:paraId="666D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9427DF7">
            <w:pPr>
              <w:rPr>
                <w:rFonts w:ascii="宋体" w:hAnsi="宋体"/>
              </w:rPr>
            </w:pPr>
          </w:p>
          <w:p w14:paraId="59124F3F">
            <w:pPr>
              <w:rPr>
                <w:rFonts w:ascii="宋体" w:hAnsi="宋体"/>
              </w:rPr>
            </w:pPr>
            <w:r>
              <w:rPr>
                <w:rFonts w:hint="eastAsia" w:ascii="宋体" w:hAnsi="宋体"/>
              </w:rPr>
              <w:t>泄漏处理</w:t>
            </w:r>
          </w:p>
        </w:tc>
        <w:tc>
          <w:tcPr>
            <w:tcW w:w="7874" w:type="dxa"/>
            <w:gridSpan w:val="8"/>
            <w:tcBorders>
              <w:bottom w:val="single" w:color="auto" w:sz="4" w:space="0"/>
            </w:tcBorders>
          </w:tcPr>
          <w:p w14:paraId="37DE1F24">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69E9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47C48724">
            <w:pPr>
              <w:rPr>
                <w:rFonts w:ascii="宋体" w:hAnsi="宋体"/>
              </w:rPr>
            </w:pPr>
          </w:p>
          <w:p w14:paraId="76002EEA">
            <w:pPr>
              <w:rPr>
                <w:rFonts w:ascii="宋体" w:hAnsi="宋体"/>
              </w:rPr>
            </w:pPr>
            <w:r>
              <w:rPr>
                <w:rFonts w:hint="eastAsia" w:ascii="宋体" w:hAnsi="宋体"/>
              </w:rPr>
              <w:t>储</w:t>
            </w:r>
          </w:p>
          <w:p w14:paraId="0289225F">
            <w:pPr>
              <w:rPr>
                <w:rFonts w:ascii="宋体" w:hAnsi="宋体"/>
              </w:rPr>
            </w:pPr>
          </w:p>
          <w:p w14:paraId="6C7D7454">
            <w:pPr>
              <w:rPr>
                <w:rFonts w:ascii="宋体" w:hAnsi="宋体"/>
              </w:rPr>
            </w:pPr>
          </w:p>
          <w:p w14:paraId="7D4EF0E1">
            <w:pPr>
              <w:rPr>
                <w:rFonts w:ascii="宋体" w:hAnsi="宋体"/>
              </w:rPr>
            </w:pPr>
            <w:r>
              <w:rPr>
                <w:rFonts w:hint="eastAsia" w:ascii="宋体" w:hAnsi="宋体"/>
              </w:rPr>
              <w:t>运</w:t>
            </w:r>
          </w:p>
        </w:tc>
        <w:tc>
          <w:tcPr>
            <w:tcW w:w="7874" w:type="dxa"/>
            <w:gridSpan w:val="8"/>
            <w:tcBorders>
              <w:bottom w:val="single" w:color="auto" w:sz="4" w:space="0"/>
            </w:tcBorders>
          </w:tcPr>
          <w:p w14:paraId="3F356D2D">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4DADBE12">
      <w:pPr>
        <w:pStyle w:val="4"/>
        <w:spacing w:afterLines="100" w:line="500" w:lineRule="exact"/>
        <w:jc w:val="center"/>
        <w:rPr>
          <w:rFonts w:ascii="楷体_GB2312" w:hAnsi="宋体" w:eastAsia="楷体_GB2312"/>
          <w:kern w:val="3"/>
        </w:rPr>
      </w:pPr>
      <w:bookmarkStart w:id="174" w:name="_Toc71894901"/>
      <w:r>
        <w:rPr>
          <w:rFonts w:hint="eastAsia" w:ascii="楷体_GB2312" w:hAnsi="宋体" w:eastAsia="楷体_GB2312"/>
          <w:kern w:val="3"/>
        </w:rPr>
        <w:t>3.2主要危险、有害因素分析</w:t>
      </w:r>
      <w:bookmarkEnd w:id="174"/>
    </w:p>
    <w:p w14:paraId="074B60BA">
      <w:pPr>
        <w:pStyle w:val="11"/>
        <w:spacing w:line="500" w:lineRule="exact"/>
        <w:ind w:firstLine="600"/>
        <w:rPr>
          <w:rFonts w:ascii="宋体" w:hAnsi="宋体"/>
          <w:sz w:val="28"/>
        </w:rPr>
      </w:pPr>
      <w:r>
        <w:rPr>
          <w:rFonts w:hint="eastAsia" w:ascii="宋体" w:hAnsi="宋体"/>
          <w:sz w:val="28"/>
        </w:rPr>
        <w:t>危险因素、有害分析主要是辨识危险、有害因素产生的原因、存在的部位、可能造成的危害等。</w:t>
      </w:r>
    </w:p>
    <w:p w14:paraId="7453167E">
      <w:pPr>
        <w:pStyle w:val="11"/>
        <w:spacing w:line="500" w:lineRule="exact"/>
        <w:ind w:firstLine="600"/>
        <w:rPr>
          <w:rFonts w:ascii="宋体" w:hAnsi="宋体"/>
          <w:sz w:val="28"/>
          <w:szCs w:val="28"/>
        </w:rPr>
      </w:pPr>
      <w:r>
        <w:rPr>
          <w:rFonts w:hint="eastAsia" w:ascii="宋体" w:hAnsi="宋体"/>
          <w:sz w:val="28"/>
        </w:rPr>
        <w:t>安全生产技术和安全管理认为</w:t>
      </w:r>
      <w:r>
        <w:rPr>
          <w:rFonts w:ascii="宋体" w:hAnsi="宋体"/>
          <w:sz w:val="28"/>
        </w:rPr>
        <w:t>:</w:t>
      </w:r>
      <w:r>
        <w:rPr>
          <w:rFonts w:hint="eastAsia" w:ascii="宋体" w:hAnsi="宋体"/>
          <w:sz w:val="28"/>
        </w:rPr>
        <w:t>危险、有害因素主要是由物的不安全状态、人的不安全行为及管理</w:t>
      </w:r>
      <w:r>
        <w:rPr>
          <w:rFonts w:hint="eastAsia" w:ascii="宋体" w:hAnsi="宋体"/>
          <w:sz w:val="28"/>
          <w:szCs w:val="28"/>
        </w:rPr>
        <w:t>缺陷等引起。</w:t>
      </w:r>
    </w:p>
    <w:p w14:paraId="2D6E5427">
      <w:pPr>
        <w:pStyle w:val="11"/>
        <w:spacing w:line="500" w:lineRule="exact"/>
        <w:ind w:firstLine="600"/>
        <w:rPr>
          <w:rFonts w:ascii="宋体" w:hAnsi="宋体"/>
          <w:sz w:val="28"/>
        </w:rPr>
      </w:pPr>
      <w:r>
        <w:rPr>
          <w:rFonts w:hint="eastAsia" w:ascii="宋体" w:hAnsi="宋体"/>
          <w:sz w:val="28"/>
        </w:rPr>
        <w:t xml:space="preserve">1、物的不安全状态： </w:t>
      </w:r>
    </w:p>
    <w:p w14:paraId="59E23857">
      <w:pPr>
        <w:pStyle w:val="11"/>
        <w:spacing w:line="500" w:lineRule="exact"/>
        <w:ind w:firstLine="600"/>
        <w:rPr>
          <w:rFonts w:ascii="宋体" w:hAnsi="宋体"/>
          <w:sz w:val="28"/>
        </w:rPr>
      </w:pPr>
      <w:r>
        <w:rPr>
          <w:rFonts w:hint="eastAsia" w:ascii="宋体" w:hAnsi="宋体"/>
          <w:sz w:val="28"/>
        </w:rPr>
        <w:t>指以下几个方面：（</w:t>
      </w:r>
      <w:r>
        <w:rPr>
          <w:rFonts w:ascii="宋体" w:hAnsi="宋体"/>
          <w:sz w:val="28"/>
        </w:rPr>
        <w:t>1</w:t>
      </w:r>
      <w:r>
        <w:rPr>
          <w:rFonts w:hint="eastAsia" w:ascii="宋体" w:hAnsi="宋体"/>
          <w:sz w:val="28"/>
        </w:rPr>
        <w:t>）防护、保险、信号的装置缺乏或有缺陷；（</w:t>
      </w:r>
      <w:r>
        <w:rPr>
          <w:rFonts w:ascii="宋体" w:hAnsi="宋体"/>
          <w:sz w:val="28"/>
        </w:rPr>
        <w:t>2</w:t>
      </w:r>
      <w:r>
        <w:rPr>
          <w:rFonts w:hint="eastAsia" w:ascii="宋体" w:hAnsi="宋体"/>
          <w:sz w:val="28"/>
        </w:rPr>
        <w:t>）设备、设施、工具、附件有缺陷；（</w:t>
      </w:r>
      <w:r>
        <w:rPr>
          <w:rFonts w:ascii="宋体" w:hAnsi="宋体"/>
          <w:sz w:val="28"/>
        </w:rPr>
        <w:t>3</w:t>
      </w:r>
      <w:r>
        <w:rPr>
          <w:rFonts w:hint="eastAsia" w:ascii="宋体" w:hAnsi="宋体"/>
          <w:sz w:val="28"/>
        </w:rPr>
        <w:t>）个人防护用品用具缺少或有缺陷；（</w:t>
      </w:r>
      <w:r>
        <w:rPr>
          <w:rFonts w:ascii="宋体" w:hAnsi="宋体"/>
          <w:sz w:val="28"/>
        </w:rPr>
        <w:t>4</w:t>
      </w:r>
      <w:r>
        <w:rPr>
          <w:rFonts w:hint="eastAsia" w:ascii="宋体" w:hAnsi="宋体"/>
          <w:sz w:val="28"/>
        </w:rPr>
        <w:t>）生产（施工）场地环境不良。</w:t>
      </w:r>
    </w:p>
    <w:p w14:paraId="3510B3EA">
      <w:pPr>
        <w:pStyle w:val="11"/>
        <w:spacing w:line="500" w:lineRule="exact"/>
        <w:ind w:firstLine="600"/>
        <w:rPr>
          <w:rFonts w:ascii="宋体" w:hAnsi="宋体"/>
          <w:sz w:val="28"/>
        </w:rPr>
      </w:pPr>
      <w:r>
        <w:rPr>
          <w:rFonts w:hint="eastAsia" w:ascii="宋体" w:hAnsi="宋体"/>
          <w:sz w:val="28"/>
        </w:rPr>
        <w:t xml:space="preserve">2、人的不安全行为： </w:t>
      </w:r>
    </w:p>
    <w:p w14:paraId="644E01DD">
      <w:pPr>
        <w:pStyle w:val="11"/>
        <w:spacing w:line="500" w:lineRule="exact"/>
        <w:ind w:firstLine="600"/>
        <w:rPr>
          <w:rFonts w:ascii="宋体" w:hAnsi="宋体"/>
          <w:sz w:val="28"/>
          <w:szCs w:val="28"/>
        </w:rPr>
      </w:pPr>
      <w:r>
        <w:rPr>
          <w:rFonts w:hint="eastAsia" w:ascii="宋体" w:hAnsi="宋体"/>
          <w:sz w:val="28"/>
        </w:rPr>
        <w:t>指以下几个方面：（</w:t>
      </w:r>
      <w:r>
        <w:rPr>
          <w:rFonts w:ascii="宋体" w:hAnsi="宋体"/>
          <w:sz w:val="28"/>
        </w:rPr>
        <w:t>1</w:t>
      </w:r>
      <w:r>
        <w:rPr>
          <w:rFonts w:hint="eastAsia" w:ascii="宋体" w:hAnsi="宋体"/>
          <w:sz w:val="28"/>
        </w:rPr>
        <w:t>）操作错误，忽视安全，忽视警告；（</w:t>
      </w:r>
      <w:r>
        <w:rPr>
          <w:rFonts w:ascii="宋体" w:hAnsi="宋体"/>
          <w:sz w:val="28"/>
        </w:rPr>
        <w:t>2</w:t>
      </w:r>
      <w:r>
        <w:rPr>
          <w:rFonts w:hint="eastAsia" w:ascii="宋体" w:hAnsi="宋体"/>
          <w:sz w:val="28"/>
        </w:rPr>
        <w:t>）造成安全装置失效；（3）使用不安全设备；（4）人工代替工具操作；（5）物体存放不当；（6）冒险进入危险场所；（7）在不安全情况下进行加油、修理、焊接、清扫等工作；（8）有分散注意力行为；（9）在必须使用个人防护用品用具的作业或场合中，忽视其使用；（</w:t>
      </w:r>
      <w:r>
        <w:rPr>
          <w:rFonts w:ascii="宋体" w:hAnsi="宋体"/>
          <w:sz w:val="28"/>
        </w:rPr>
        <w:t>1</w:t>
      </w:r>
      <w:r>
        <w:rPr>
          <w:rFonts w:hint="eastAsia" w:ascii="宋体" w:hAnsi="宋体"/>
          <w:sz w:val="28"/>
        </w:rPr>
        <w:t>0）不安全装束；（</w:t>
      </w:r>
      <w:r>
        <w:rPr>
          <w:rFonts w:ascii="宋体" w:hAnsi="宋体"/>
          <w:sz w:val="28"/>
        </w:rPr>
        <w:t>1</w:t>
      </w:r>
      <w:r>
        <w:rPr>
          <w:rFonts w:hint="eastAsia" w:ascii="宋体" w:hAnsi="宋体"/>
          <w:sz w:val="28"/>
        </w:rPr>
        <w:t>1）对易燃、易爆等危险物品处理</w:t>
      </w:r>
      <w:r>
        <w:rPr>
          <w:rFonts w:hint="eastAsia" w:ascii="宋体" w:hAnsi="宋体"/>
          <w:sz w:val="28"/>
          <w:szCs w:val="28"/>
        </w:rPr>
        <w:t>错误。</w:t>
      </w:r>
    </w:p>
    <w:p w14:paraId="076BFD41">
      <w:pPr>
        <w:pStyle w:val="11"/>
        <w:spacing w:line="500" w:lineRule="exact"/>
        <w:ind w:firstLine="600"/>
        <w:rPr>
          <w:rFonts w:ascii="宋体" w:hAnsi="宋体"/>
          <w:sz w:val="28"/>
          <w:szCs w:val="28"/>
        </w:rPr>
      </w:pPr>
      <w:r>
        <w:rPr>
          <w:rFonts w:hint="eastAsia" w:ascii="宋体" w:hAnsi="宋体"/>
          <w:sz w:val="28"/>
          <w:szCs w:val="28"/>
        </w:rPr>
        <w:t>3、管理缺陷：</w:t>
      </w:r>
    </w:p>
    <w:p w14:paraId="069050AD">
      <w:pPr>
        <w:pStyle w:val="11"/>
        <w:spacing w:line="500" w:lineRule="exact"/>
        <w:ind w:firstLine="6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）技术和设计上有缺陷、（</w:t>
      </w:r>
      <w:r>
        <w:rPr>
          <w:rFonts w:ascii="宋体" w:hAnsi="宋体"/>
          <w:sz w:val="28"/>
          <w:szCs w:val="28"/>
        </w:rPr>
        <w:t>2</w:t>
      </w:r>
      <w:r>
        <w:rPr>
          <w:rFonts w:hint="eastAsia" w:ascii="宋体" w:hAnsi="宋体"/>
          <w:sz w:val="28"/>
          <w:szCs w:val="28"/>
        </w:rPr>
        <w:t>）教育培训不够，未经培训，缺乏或不懂安全操作技术知识；（</w:t>
      </w:r>
      <w:r>
        <w:rPr>
          <w:rFonts w:ascii="宋体" w:hAnsi="宋体"/>
          <w:sz w:val="28"/>
          <w:szCs w:val="28"/>
        </w:rPr>
        <w:t>3</w:t>
      </w:r>
      <w:r>
        <w:rPr>
          <w:rFonts w:hint="eastAsia" w:ascii="宋体" w:hAnsi="宋体"/>
          <w:sz w:val="28"/>
          <w:szCs w:val="28"/>
        </w:rPr>
        <w:t>）劳动组织不合理；（</w:t>
      </w:r>
      <w:r>
        <w:rPr>
          <w:rFonts w:ascii="宋体" w:hAnsi="宋体"/>
          <w:sz w:val="28"/>
          <w:szCs w:val="28"/>
        </w:rPr>
        <w:t>4</w:t>
      </w:r>
      <w:r>
        <w:rPr>
          <w:rFonts w:hint="eastAsia" w:ascii="宋体" w:hAnsi="宋体"/>
          <w:sz w:val="28"/>
          <w:szCs w:val="28"/>
        </w:rPr>
        <w:t>）对现场工作缺乏检查或指导错误；（</w:t>
      </w:r>
      <w:r>
        <w:rPr>
          <w:rFonts w:ascii="宋体" w:hAnsi="宋体"/>
          <w:sz w:val="28"/>
          <w:szCs w:val="28"/>
        </w:rPr>
        <w:t>5</w:t>
      </w:r>
      <w:r>
        <w:rPr>
          <w:rFonts w:hint="eastAsia" w:ascii="宋体" w:hAnsi="宋体"/>
          <w:sz w:val="28"/>
          <w:szCs w:val="28"/>
        </w:rPr>
        <w:t>）没有安全操作规程或不健全；（</w:t>
      </w:r>
      <w:r>
        <w:rPr>
          <w:rFonts w:ascii="宋体" w:hAnsi="宋体"/>
          <w:sz w:val="28"/>
          <w:szCs w:val="28"/>
        </w:rPr>
        <w:t>6</w:t>
      </w:r>
      <w:r>
        <w:rPr>
          <w:rFonts w:hint="eastAsia" w:ascii="宋体" w:hAnsi="宋体"/>
          <w:sz w:val="28"/>
          <w:szCs w:val="28"/>
        </w:rPr>
        <w:t>）没有或不认真实施事故防范措施，对事故隐患整改不力。</w:t>
      </w:r>
    </w:p>
    <w:p w14:paraId="1CCA8B16">
      <w:pPr>
        <w:pStyle w:val="11"/>
        <w:spacing w:line="500" w:lineRule="exact"/>
        <w:ind w:firstLine="600"/>
        <w:rPr>
          <w:rFonts w:ascii="宋体" w:hAnsi="宋体"/>
          <w:sz w:val="28"/>
          <w:szCs w:val="28"/>
        </w:rPr>
      </w:pPr>
      <w:r>
        <w:rPr>
          <w:rFonts w:hint="eastAsia" w:ascii="宋体" w:hAnsi="宋体"/>
          <w:sz w:val="28"/>
          <w:szCs w:val="28"/>
        </w:rPr>
        <w:t>4、环境影响：</w:t>
      </w:r>
    </w:p>
    <w:p w14:paraId="3B1D4115">
      <w:pPr>
        <w:pStyle w:val="11"/>
        <w:spacing w:line="500" w:lineRule="exact"/>
        <w:ind w:firstLine="600"/>
        <w:rPr>
          <w:rFonts w:ascii="宋体" w:hAnsi="宋体"/>
          <w:sz w:val="28"/>
          <w:szCs w:val="28"/>
        </w:rPr>
      </w:pPr>
      <w:r>
        <w:rPr>
          <w:rFonts w:hint="eastAsia" w:ascii="宋体" w:hAnsi="宋体"/>
          <w:sz w:val="28"/>
          <w:szCs w:val="28"/>
        </w:rPr>
        <w:t>不良环境的影响包括作业环境和自然环境。作业环境如温度、湿度、通风、照明、噪声、采光等因素的变化均可能导致人的情绪异常或者影响人的感官判断而引起误指挥、误操作，从而引发事故；自然环境如风、雨、雷电、水文地质条件、地质灾害等均可能引发安全事故。</w:t>
      </w:r>
      <w:bookmarkStart w:id="175" w:name="_Toc355685129"/>
      <w:bookmarkStart w:id="176" w:name="_Toc297882594"/>
    </w:p>
    <w:p w14:paraId="026C3B37">
      <w:pPr>
        <w:pStyle w:val="4"/>
        <w:spacing w:afterLines="100" w:line="500" w:lineRule="exact"/>
        <w:rPr>
          <w:rFonts w:ascii="黑体" w:hAnsi="宋体"/>
          <w:kern w:val="3"/>
          <w:sz w:val="28"/>
          <w:szCs w:val="28"/>
        </w:rPr>
      </w:pPr>
      <w:bookmarkStart w:id="177" w:name="_Toc71894902"/>
      <w:r>
        <w:rPr>
          <w:rFonts w:hint="eastAsia" w:ascii="黑体" w:hAnsi="宋体"/>
          <w:kern w:val="3"/>
          <w:sz w:val="28"/>
          <w:szCs w:val="28"/>
        </w:rPr>
        <w:t>3.2.1选址的危险性分析</w:t>
      </w:r>
      <w:bookmarkEnd w:id="175"/>
      <w:bookmarkEnd w:id="176"/>
      <w:bookmarkEnd w:id="177"/>
    </w:p>
    <w:p w14:paraId="0214E21D">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站址因素主要是指工程地质、地形地貌、水文、气象条件、周围环境、交通运输条件、自然灾害等方面的内容。站址选择不合理也是导致加油站发生事故的一个重要原因。</w:t>
      </w:r>
    </w:p>
    <w:p w14:paraId="3D85B47D">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本项目可能引发事故的选址方面的因素主要有周边环境以及项目所在地自然条件（主要是工程地质、降雨、雷电、气温等）。选址主要存在的危险、有害因素有：地震、坍塌、滑坡、泥石流、静电雷电危害、高温、大雾等。</w:t>
      </w:r>
      <w:r>
        <w:rPr>
          <w:rFonts w:hint="eastAsia" w:ascii="宋体" w:hAnsi="宋体"/>
          <w:snapToGrid w:val="0"/>
          <w:kern w:val="0"/>
          <w:sz w:val="28"/>
          <w:szCs w:val="28"/>
        </w:rPr>
        <w:cr/>
      </w:r>
      <w:r>
        <w:rPr>
          <w:rFonts w:hint="eastAsia" w:ascii="宋体" w:hAnsi="宋体"/>
          <w:snapToGrid w:val="0"/>
          <w:kern w:val="0"/>
          <w:sz w:val="28"/>
          <w:szCs w:val="28"/>
        </w:rPr>
        <w:t xml:space="preserve">    引发事故的原因主要有：</w:t>
      </w:r>
      <w:r>
        <w:rPr>
          <w:rFonts w:hint="eastAsia" w:ascii="宋体" w:hAnsi="宋体"/>
          <w:snapToGrid w:val="0"/>
          <w:kern w:val="0"/>
          <w:sz w:val="28"/>
          <w:szCs w:val="28"/>
        </w:rPr>
        <w:cr/>
      </w:r>
      <w:r>
        <w:rPr>
          <w:rFonts w:hint="eastAsia" w:ascii="宋体" w:hAnsi="宋体"/>
          <w:snapToGrid w:val="0"/>
          <w:kern w:val="0"/>
          <w:sz w:val="28"/>
          <w:szCs w:val="28"/>
        </w:rPr>
        <w:t xml:space="preserve">    1.工程地质不适宜项目建设或施工质量差、建构筑物抗震等级不足等引起建筑物坍塌事故。</w:t>
      </w:r>
    </w:p>
    <w:p w14:paraId="28DA7339">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2.由于建筑、生产设备、设施、储罐等建构筑物、设备设施载荷较重，长期运行后出现地基下沉，导致建构筑物或设备及与其相连的部件发生变形，引发物料泄漏，进而发生二次事故。</w:t>
      </w:r>
      <w:r>
        <w:rPr>
          <w:rFonts w:hint="eastAsia" w:ascii="宋体" w:hAnsi="宋体"/>
          <w:snapToGrid w:val="0"/>
          <w:kern w:val="0"/>
          <w:sz w:val="28"/>
          <w:szCs w:val="28"/>
        </w:rPr>
        <w:cr/>
      </w:r>
      <w:r>
        <w:rPr>
          <w:rFonts w:hint="eastAsia" w:ascii="宋体" w:hAnsi="宋体"/>
          <w:snapToGrid w:val="0"/>
          <w:kern w:val="0"/>
          <w:sz w:val="28"/>
          <w:szCs w:val="28"/>
        </w:rPr>
        <w:t xml:space="preserve">    3.项目所在地发生地震，可导致设备、设施及建构筑物突发性损坏，在设备、设施及建构筑物抗震等级不足时，破坏性更大。</w:t>
      </w:r>
    </w:p>
    <w:p w14:paraId="5B4A9637">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4.降雨多时容易破坏地基和用电设备，造成地基下沉、电器短路事故。</w:t>
      </w:r>
      <w:r>
        <w:rPr>
          <w:rFonts w:hint="eastAsia" w:ascii="宋体" w:hAnsi="宋体"/>
          <w:snapToGrid w:val="0"/>
          <w:kern w:val="0"/>
          <w:sz w:val="28"/>
          <w:szCs w:val="28"/>
        </w:rPr>
        <w:cr/>
      </w:r>
      <w:r>
        <w:rPr>
          <w:rFonts w:hint="eastAsia" w:ascii="宋体" w:hAnsi="宋体"/>
          <w:snapToGrid w:val="0"/>
          <w:kern w:val="0"/>
          <w:sz w:val="28"/>
          <w:szCs w:val="28"/>
        </w:rPr>
        <w:t xml:space="preserve">    5.雷暴天气开展生产活动，造成雷击起火。</w:t>
      </w:r>
      <w:r>
        <w:rPr>
          <w:rFonts w:hint="eastAsia" w:ascii="宋体" w:hAnsi="宋体"/>
          <w:snapToGrid w:val="0"/>
          <w:kern w:val="0"/>
          <w:sz w:val="28"/>
          <w:szCs w:val="28"/>
        </w:rPr>
        <w:cr/>
      </w:r>
      <w:r>
        <w:rPr>
          <w:rFonts w:hint="eastAsia" w:ascii="宋体" w:hAnsi="宋体"/>
          <w:snapToGrid w:val="0"/>
          <w:kern w:val="0"/>
          <w:sz w:val="28"/>
          <w:szCs w:val="28"/>
        </w:rPr>
        <w:t xml:space="preserve">    6.防雷防静电装置未定期进行检测，致接地电阻超标，遇雷暴天气，易发生雷电危害事故。</w:t>
      </w:r>
      <w:r>
        <w:rPr>
          <w:rFonts w:hint="eastAsia" w:ascii="宋体" w:hAnsi="宋体"/>
          <w:snapToGrid w:val="0"/>
          <w:kern w:val="0"/>
          <w:sz w:val="28"/>
          <w:szCs w:val="28"/>
        </w:rPr>
        <w:cr/>
      </w:r>
      <w:r>
        <w:rPr>
          <w:rFonts w:hint="eastAsia" w:ascii="宋体" w:hAnsi="宋体"/>
          <w:snapToGrid w:val="0"/>
          <w:kern w:val="0"/>
          <w:sz w:val="28"/>
          <w:szCs w:val="28"/>
        </w:rPr>
        <w:t xml:space="preserve">    7.夏季高温天气，导致人员中暑。</w:t>
      </w:r>
      <w:bookmarkStart w:id="178" w:name="_Toc297882595"/>
      <w:bookmarkStart w:id="179" w:name="_Toc355685130"/>
    </w:p>
    <w:p w14:paraId="229A5816">
      <w:pPr>
        <w:pStyle w:val="4"/>
        <w:spacing w:afterLines="100" w:line="500" w:lineRule="exact"/>
        <w:rPr>
          <w:rFonts w:ascii="黑体" w:hAnsi="宋体"/>
          <w:kern w:val="3"/>
          <w:sz w:val="28"/>
          <w:szCs w:val="28"/>
        </w:rPr>
      </w:pPr>
      <w:bookmarkStart w:id="180" w:name="_Toc71894903"/>
      <w:r>
        <w:rPr>
          <w:rFonts w:hint="eastAsia" w:ascii="黑体" w:hAnsi="宋体"/>
          <w:kern w:val="3"/>
          <w:sz w:val="28"/>
          <w:szCs w:val="28"/>
        </w:rPr>
        <w:t>3.</w:t>
      </w:r>
      <w:bookmarkEnd w:id="178"/>
      <w:r>
        <w:rPr>
          <w:rFonts w:hint="eastAsia" w:ascii="黑体" w:hAnsi="宋体"/>
          <w:kern w:val="3"/>
          <w:sz w:val="28"/>
          <w:szCs w:val="28"/>
        </w:rPr>
        <w:t>2.2总平面布置的危险性分析</w:t>
      </w:r>
      <w:bookmarkEnd w:id="179"/>
      <w:bookmarkEnd w:id="180"/>
    </w:p>
    <w:p w14:paraId="17CEB8CA">
      <w:pPr>
        <w:spacing w:line="500" w:lineRule="exact"/>
        <w:ind w:firstLine="560" w:firstLineChars="200"/>
        <w:rPr>
          <w:rFonts w:ascii="宋体" w:hAnsi="宋体"/>
        </w:rPr>
      </w:pPr>
      <w:r>
        <w:rPr>
          <w:rFonts w:hint="eastAsia" w:ascii="宋体" w:hAnsi="宋体"/>
          <w:sz w:val="28"/>
          <w:szCs w:val="28"/>
        </w:rPr>
        <w:t>加油站的总平面布置主要包括功能分区、防火间距、危险危害物质设施、道路、储运设施等方面的内容。若加油站功能分区、站内设施设备（加油岛、罩棚等）设置不合理、道路宽度不够、站内设施设备之间的防火间距不符合</w:t>
      </w:r>
      <w:r>
        <w:rPr>
          <w:rFonts w:hint="eastAsia" w:ascii="新宋体" w:hAnsi="新宋体" w:eastAsia="新宋体"/>
          <w:snapToGrid w:val="0"/>
          <w:sz w:val="28"/>
          <w:szCs w:val="28"/>
        </w:rPr>
        <w:t>《汽车加油加气加氢站技术标准》（GB50156-2021）</w:t>
      </w:r>
      <w:r>
        <w:rPr>
          <w:rFonts w:hint="eastAsia" w:ascii="宋体" w:hAnsi="宋体"/>
          <w:sz w:val="28"/>
          <w:szCs w:val="28"/>
        </w:rPr>
        <w:t>要求等均可能导致加油站发生火灾、爆炸、车辆伤害等危险。</w:t>
      </w:r>
    </w:p>
    <w:p w14:paraId="627718EE">
      <w:pPr>
        <w:pStyle w:val="4"/>
        <w:spacing w:afterLines="100" w:line="500" w:lineRule="exact"/>
        <w:rPr>
          <w:rFonts w:ascii="黑体" w:hAnsi="宋体"/>
          <w:kern w:val="3"/>
          <w:sz w:val="28"/>
          <w:szCs w:val="28"/>
        </w:rPr>
      </w:pPr>
      <w:bookmarkStart w:id="181" w:name="_Toc297882596"/>
      <w:bookmarkStart w:id="182" w:name="_Toc71894904"/>
      <w:bookmarkStart w:id="183" w:name="_Toc355685131"/>
      <w:r>
        <w:rPr>
          <w:rFonts w:hint="eastAsia" w:ascii="黑体" w:hAnsi="宋体"/>
          <w:kern w:val="3"/>
          <w:sz w:val="28"/>
          <w:szCs w:val="28"/>
        </w:rPr>
        <w:t>3.</w:t>
      </w:r>
      <w:bookmarkEnd w:id="181"/>
      <w:r>
        <w:rPr>
          <w:rFonts w:hint="eastAsia" w:ascii="黑体" w:hAnsi="宋体"/>
          <w:kern w:val="3"/>
          <w:sz w:val="28"/>
          <w:szCs w:val="28"/>
        </w:rPr>
        <w:t>2.3点火源</w:t>
      </w:r>
      <w:r>
        <w:rPr>
          <w:rFonts w:ascii="黑体" w:hAnsi="宋体"/>
          <w:kern w:val="3"/>
          <w:sz w:val="28"/>
          <w:szCs w:val="28"/>
        </w:rPr>
        <w:t>危险性分析</w:t>
      </w:r>
      <w:bookmarkEnd w:id="182"/>
      <w:bookmarkEnd w:id="183"/>
    </w:p>
    <w:p w14:paraId="1A87661D">
      <w:pPr>
        <w:adjustRightInd w:val="0"/>
        <w:snapToGrid w:val="0"/>
        <w:spacing w:line="500" w:lineRule="exact"/>
        <w:ind w:firstLine="560" w:firstLineChars="200"/>
        <w:rPr>
          <w:rFonts w:ascii="宋体" w:hAnsi="宋体"/>
          <w:sz w:val="28"/>
          <w:szCs w:val="28"/>
        </w:rPr>
      </w:pPr>
      <w:r>
        <w:rPr>
          <w:rFonts w:ascii="宋体" w:hAnsi="宋体"/>
          <w:sz w:val="28"/>
          <w:szCs w:val="28"/>
        </w:rPr>
        <w:t>火灾、爆炸是现代生产中发生较多而且危害较大的事故类型。汽油具有易燃易爆的理化属性，管理不当、操作失误、设备缺陷极易造成火灾和爆炸事故。所以，加强设备设施的管理，控制点火源，实现本质安全，是实现安全接卸的关键。下面对点火源作详细分析：</w:t>
      </w:r>
    </w:p>
    <w:p w14:paraId="4501FF43">
      <w:pPr>
        <w:adjustRightInd w:val="0"/>
        <w:snapToGrid w:val="0"/>
        <w:spacing w:line="500" w:lineRule="exact"/>
        <w:ind w:firstLine="560" w:firstLineChars="200"/>
        <w:rPr>
          <w:rFonts w:ascii="宋体" w:hAnsi="宋体"/>
          <w:sz w:val="28"/>
          <w:szCs w:val="28"/>
        </w:rPr>
      </w:pPr>
      <w:bookmarkStart w:id="184" w:name="_Toc489629036"/>
      <w:bookmarkStart w:id="185" w:name="_Toc438040921"/>
      <w:bookmarkStart w:id="186" w:name="_Toc424306269"/>
      <w:bookmarkStart w:id="187" w:name="_Toc424306018"/>
      <w:bookmarkStart w:id="188" w:name="_Toc420403886"/>
      <w:bookmarkStart w:id="189" w:name="_Toc433992368"/>
      <w:r>
        <w:rPr>
          <w:rFonts w:ascii="宋体" w:hAnsi="宋体"/>
          <w:sz w:val="28"/>
          <w:szCs w:val="28"/>
        </w:rPr>
        <w:t>1.明火源</w:t>
      </w:r>
      <w:bookmarkEnd w:id="184"/>
      <w:bookmarkEnd w:id="185"/>
      <w:bookmarkEnd w:id="186"/>
      <w:bookmarkEnd w:id="187"/>
      <w:bookmarkEnd w:id="188"/>
      <w:bookmarkEnd w:id="189"/>
    </w:p>
    <w:p w14:paraId="5FFFEA73">
      <w:pPr>
        <w:adjustRightInd w:val="0"/>
        <w:snapToGrid w:val="0"/>
        <w:spacing w:line="500" w:lineRule="exact"/>
        <w:ind w:firstLine="560" w:firstLineChars="200"/>
        <w:rPr>
          <w:rFonts w:ascii="宋体" w:hAnsi="宋体"/>
          <w:sz w:val="28"/>
          <w:szCs w:val="28"/>
        </w:rPr>
      </w:pPr>
      <w:r>
        <w:rPr>
          <w:rFonts w:ascii="宋体" w:hAnsi="宋体"/>
          <w:sz w:val="28"/>
          <w:szCs w:val="28"/>
        </w:rPr>
        <w:t>明火源是指敞开的火焰、火花、火星等。产生明火源有主要有以下的原因：</w:t>
      </w:r>
    </w:p>
    <w:p w14:paraId="0B6CEBC8">
      <w:pPr>
        <w:adjustRightInd w:val="0"/>
        <w:snapToGrid w:val="0"/>
        <w:spacing w:line="500" w:lineRule="exact"/>
        <w:ind w:firstLine="560" w:firstLineChars="200"/>
        <w:rPr>
          <w:rFonts w:ascii="宋体" w:hAnsi="宋体"/>
          <w:sz w:val="28"/>
          <w:szCs w:val="28"/>
        </w:rPr>
      </w:pPr>
      <w:r>
        <w:rPr>
          <w:rFonts w:ascii="宋体" w:hAnsi="宋体"/>
          <w:sz w:val="28"/>
          <w:szCs w:val="28"/>
        </w:rPr>
        <w:t>1）在站内进行电焊</w:t>
      </w:r>
      <w:r>
        <w:rPr>
          <w:rFonts w:hint="eastAsia" w:ascii="宋体" w:hAnsi="宋体"/>
          <w:sz w:val="28"/>
          <w:szCs w:val="28"/>
        </w:rPr>
        <w:t>、切割</w:t>
      </w:r>
      <w:r>
        <w:rPr>
          <w:rFonts w:ascii="宋体" w:hAnsi="宋体"/>
          <w:sz w:val="28"/>
          <w:szCs w:val="28"/>
        </w:rPr>
        <w:t>等明火作业，站内人员使用电热器（电炉、液化气炉、烤炉等）；</w:t>
      </w:r>
    </w:p>
    <w:p w14:paraId="13782DC5">
      <w:pPr>
        <w:adjustRightInd w:val="0"/>
        <w:snapToGrid w:val="0"/>
        <w:spacing w:line="500" w:lineRule="exact"/>
        <w:ind w:firstLine="560" w:firstLineChars="200"/>
        <w:rPr>
          <w:rFonts w:ascii="宋体" w:hAnsi="宋体"/>
          <w:sz w:val="28"/>
          <w:szCs w:val="28"/>
        </w:rPr>
      </w:pPr>
      <w:r>
        <w:rPr>
          <w:rFonts w:ascii="宋体" w:hAnsi="宋体"/>
          <w:sz w:val="28"/>
          <w:szCs w:val="28"/>
        </w:rPr>
        <w:t>2）在站内吸烟或</w:t>
      </w:r>
      <w:r>
        <w:rPr>
          <w:rFonts w:hint="eastAsia" w:ascii="宋体" w:hAnsi="宋体"/>
          <w:sz w:val="28"/>
          <w:szCs w:val="28"/>
        </w:rPr>
        <w:t>站内携带</w:t>
      </w:r>
      <w:r>
        <w:rPr>
          <w:rFonts w:ascii="宋体" w:hAnsi="宋体"/>
          <w:sz w:val="28"/>
          <w:szCs w:val="28"/>
        </w:rPr>
        <w:t>火种（在油罐区，加油机附近使用手机等）及穿钉子或掌铁的鞋进入</w:t>
      </w:r>
      <w:r>
        <w:rPr>
          <w:rFonts w:ascii="宋体" w:hAnsi="宋体"/>
          <w:snapToGrid w:val="0"/>
          <w:kern w:val="0"/>
          <w:sz w:val="28"/>
          <w:szCs w:val="28"/>
        </w:rPr>
        <w:t>加油站</w:t>
      </w:r>
      <w:r>
        <w:rPr>
          <w:rFonts w:ascii="宋体" w:hAnsi="宋体"/>
          <w:sz w:val="28"/>
          <w:szCs w:val="28"/>
        </w:rPr>
        <w:t>；</w:t>
      </w:r>
    </w:p>
    <w:p w14:paraId="1A054FE8">
      <w:pPr>
        <w:adjustRightInd w:val="0"/>
        <w:snapToGrid w:val="0"/>
        <w:spacing w:line="500" w:lineRule="exact"/>
        <w:ind w:firstLine="560" w:firstLineChars="200"/>
        <w:rPr>
          <w:rFonts w:ascii="宋体" w:hAnsi="宋体"/>
          <w:sz w:val="28"/>
          <w:szCs w:val="28"/>
        </w:rPr>
      </w:pPr>
      <w:bookmarkStart w:id="190" w:name="_Toc420403887"/>
      <w:bookmarkStart w:id="191" w:name="_Toc489629037"/>
      <w:bookmarkStart w:id="192" w:name="_Toc438040922"/>
      <w:bookmarkStart w:id="193" w:name="_Toc424306019"/>
      <w:bookmarkStart w:id="194" w:name="_Toc433992369"/>
      <w:bookmarkStart w:id="195" w:name="_Toc424306270"/>
      <w:r>
        <w:rPr>
          <w:rFonts w:hint="eastAsia" w:ascii="宋体" w:hAnsi="宋体"/>
          <w:sz w:val="28"/>
          <w:szCs w:val="28"/>
        </w:rPr>
        <w:t>3</w:t>
      </w:r>
      <w:r>
        <w:rPr>
          <w:rFonts w:ascii="宋体" w:hAnsi="宋体"/>
          <w:sz w:val="28"/>
          <w:szCs w:val="28"/>
        </w:rPr>
        <w:t>）</w:t>
      </w:r>
      <w:r>
        <w:rPr>
          <w:rFonts w:hint="eastAsia" w:ascii="宋体" w:hAnsi="宋体"/>
          <w:sz w:val="28"/>
          <w:szCs w:val="28"/>
        </w:rPr>
        <w:t>油罐区、</w:t>
      </w:r>
      <w:r>
        <w:rPr>
          <w:rFonts w:ascii="宋体" w:hAnsi="宋体"/>
          <w:sz w:val="28"/>
          <w:szCs w:val="28"/>
        </w:rPr>
        <w:t>加油机附近使用会产生火花的工具；</w:t>
      </w:r>
      <w:bookmarkEnd w:id="190"/>
      <w:bookmarkEnd w:id="191"/>
      <w:bookmarkEnd w:id="192"/>
      <w:bookmarkEnd w:id="193"/>
      <w:bookmarkEnd w:id="194"/>
      <w:bookmarkEnd w:id="195"/>
    </w:p>
    <w:p w14:paraId="31904937">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w:t>
      </w:r>
      <w:r>
        <w:rPr>
          <w:rFonts w:hint="eastAsia" w:ascii="宋体" w:hAnsi="宋体"/>
          <w:sz w:val="28"/>
          <w:szCs w:val="28"/>
        </w:rPr>
        <w:t>油罐区、</w:t>
      </w:r>
      <w:r>
        <w:rPr>
          <w:rFonts w:ascii="宋体" w:hAnsi="宋体"/>
          <w:sz w:val="28"/>
          <w:szCs w:val="28"/>
        </w:rPr>
        <w:t>加油机及与油料有关的一切作业场所安装使用的电器设备、设施（照明灯、线路、开关、电动机等）产生的电气火花；</w:t>
      </w:r>
    </w:p>
    <w:p w14:paraId="4F08EEB8">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）进行油罐储油量的监测及采样作业时所使用的金属检尺、采样器与油罐碰撞、摩擦产生的火花；</w:t>
      </w:r>
    </w:p>
    <w:p w14:paraId="53687EA1">
      <w:pPr>
        <w:adjustRightInd w:val="0"/>
        <w:snapToGrid w:val="0"/>
        <w:spacing w:line="500" w:lineRule="exact"/>
        <w:ind w:firstLine="560" w:firstLineChars="200"/>
        <w:rPr>
          <w:rFonts w:ascii="宋体" w:hAnsi="宋体"/>
          <w:sz w:val="28"/>
          <w:szCs w:val="28"/>
        </w:rPr>
      </w:pPr>
      <w:bookmarkStart w:id="196" w:name="_Toc420403888"/>
      <w:bookmarkStart w:id="197" w:name="_Toc424306271"/>
      <w:bookmarkStart w:id="198" w:name="_Toc438040923"/>
      <w:bookmarkStart w:id="199" w:name="_Toc489629038"/>
      <w:bookmarkStart w:id="200" w:name="_Toc433992370"/>
      <w:r>
        <w:rPr>
          <w:rFonts w:hint="eastAsia" w:ascii="宋体" w:hAnsi="宋体"/>
          <w:sz w:val="28"/>
          <w:szCs w:val="28"/>
        </w:rPr>
        <w:t>6</w:t>
      </w:r>
      <w:r>
        <w:rPr>
          <w:rFonts w:ascii="宋体" w:hAnsi="宋体"/>
          <w:sz w:val="28"/>
          <w:szCs w:val="28"/>
        </w:rPr>
        <w:t>）雷击产生的明火；</w:t>
      </w:r>
      <w:bookmarkEnd w:id="196"/>
      <w:bookmarkEnd w:id="197"/>
      <w:bookmarkEnd w:id="198"/>
      <w:bookmarkEnd w:id="199"/>
      <w:bookmarkEnd w:id="200"/>
    </w:p>
    <w:p w14:paraId="2F646B62">
      <w:pPr>
        <w:spacing w:line="500" w:lineRule="exact"/>
        <w:ind w:firstLine="560" w:firstLineChars="200"/>
        <w:rPr>
          <w:rFonts w:ascii="宋体" w:hAnsi="宋体"/>
          <w:sz w:val="28"/>
          <w:szCs w:val="28"/>
        </w:rPr>
      </w:pPr>
      <w:r>
        <w:rPr>
          <w:rFonts w:hint="eastAsia" w:ascii="宋体" w:hAnsi="宋体"/>
          <w:sz w:val="28"/>
          <w:szCs w:val="28"/>
        </w:rPr>
        <w:t>7</w:t>
      </w:r>
      <w:r>
        <w:rPr>
          <w:rFonts w:ascii="宋体" w:hAnsi="宋体"/>
          <w:sz w:val="28"/>
          <w:szCs w:val="28"/>
        </w:rPr>
        <w:t>）油料在收发、传输及加注过程中，油料和油料、油罐、管道、油泵及水、杂质、空气等发生碰撞、摩擦产生的静电而导致的跳火放电</w:t>
      </w:r>
      <w:r>
        <w:rPr>
          <w:rFonts w:hint="eastAsia" w:ascii="宋体" w:hAnsi="宋体"/>
          <w:sz w:val="28"/>
          <w:szCs w:val="28"/>
        </w:rPr>
        <w:t>。</w:t>
      </w:r>
    </w:p>
    <w:p w14:paraId="7C33B354">
      <w:pPr>
        <w:spacing w:line="500" w:lineRule="exact"/>
        <w:ind w:firstLine="560" w:firstLineChars="200"/>
        <w:rPr>
          <w:rFonts w:ascii="宋体" w:hAnsi="宋体"/>
          <w:sz w:val="28"/>
          <w:szCs w:val="28"/>
        </w:rPr>
      </w:pPr>
      <w:r>
        <w:rPr>
          <w:rFonts w:ascii="宋体" w:hAnsi="宋体"/>
          <w:sz w:val="28"/>
          <w:szCs w:val="28"/>
        </w:rPr>
        <w:t>2.摩擦和撞击</w:t>
      </w:r>
    </w:p>
    <w:p w14:paraId="3DC5893A">
      <w:pPr>
        <w:spacing w:line="500" w:lineRule="exact"/>
        <w:ind w:firstLine="560" w:firstLineChars="200"/>
        <w:rPr>
          <w:rFonts w:ascii="宋体" w:hAnsi="宋体"/>
          <w:sz w:val="28"/>
          <w:szCs w:val="28"/>
        </w:rPr>
      </w:pPr>
      <w:r>
        <w:rPr>
          <w:rFonts w:ascii="宋体" w:hAnsi="宋体"/>
          <w:sz w:val="28"/>
          <w:szCs w:val="28"/>
        </w:rPr>
        <w:t>当两个表面粗糙的坚硬物体互相猛烈撞击和剧烈摩擦时，会产生火花，这种火花可认为是撞击或摩擦下来的高温固体微粒。据测试，若火星的直径是0.1mm和1mm，则它们所带的热能分别为1.76mJ和176mJ，超过大多数可燃物质的最小点火能，足以点燃可燃的气体、蒸气和粉尘。</w:t>
      </w:r>
    </w:p>
    <w:p w14:paraId="13911055">
      <w:pPr>
        <w:adjustRightInd w:val="0"/>
        <w:snapToGrid w:val="0"/>
        <w:spacing w:line="500" w:lineRule="exact"/>
        <w:ind w:firstLine="560" w:firstLineChars="200"/>
        <w:rPr>
          <w:rFonts w:ascii="宋体" w:hAnsi="宋体"/>
          <w:sz w:val="28"/>
          <w:szCs w:val="28"/>
        </w:rPr>
      </w:pPr>
      <w:bookmarkStart w:id="201" w:name="_Toc438040924"/>
      <w:bookmarkStart w:id="202" w:name="_Toc424306272"/>
      <w:bookmarkStart w:id="203" w:name="_Toc420403889"/>
      <w:bookmarkStart w:id="204" w:name="_Toc433992371"/>
      <w:bookmarkStart w:id="205" w:name="_Toc489629039"/>
      <w:r>
        <w:rPr>
          <w:rFonts w:ascii="宋体" w:hAnsi="宋体"/>
          <w:sz w:val="28"/>
          <w:szCs w:val="28"/>
        </w:rPr>
        <w:t>3.电气火花</w:t>
      </w:r>
      <w:bookmarkEnd w:id="201"/>
      <w:bookmarkEnd w:id="202"/>
      <w:bookmarkEnd w:id="203"/>
      <w:bookmarkEnd w:id="204"/>
      <w:bookmarkEnd w:id="205"/>
    </w:p>
    <w:p w14:paraId="1D8D994D">
      <w:pPr>
        <w:adjustRightInd w:val="0"/>
        <w:snapToGrid w:val="0"/>
        <w:spacing w:line="500" w:lineRule="exact"/>
        <w:ind w:firstLine="560" w:firstLineChars="200"/>
        <w:rPr>
          <w:rFonts w:ascii="宋体" w:hAnsi="宋体"/>
          <w:sz w:val="28"/>
          <w:szCs w:val="28"/>
        </w:rPr>
      </w:pPr>
      <w:r>
        <w:rPr>
          <w:rFonts w:ascii="宋体" w:hAnsi="宋体"/>
          <w:sz w:val="28"/>
          <w:szCs w:val="28"/>
        </w:rPr>
        <w:t>电气火花是一种电能转变为热能的常见点火源。电气火花大体上有：电气线路和电气设备在开关断开、接触不良、短路、漏电时产生火花及静电放电火花、雷电放电火花等。</w:t>
      </w:r>
    </w:p>
    <w:p w14:paraId="727C988E">
      <w:pPr>
        <w:pStyle w:val="11"/>
        <w:spacing w:line="500" w:lineRule="exact"/>
        <w:ind w:firstLine="600"/>
        <w:rPr>
          <w:rFonts w:ascii="宋体" w:hAnsi="宋体"/>
          <w:sz w:val="28"/>
          <w:szCs w:val="28"/>
        </w:rPr>
      </w:pPr>
      <w:r>
        <w:rPr>
          <w:rFonts w:ascii="宋体" w:hAnsi="宋体"/>
          <w:sz w:val="28"/>
          <w:szCs w:val="28"/>
        </w:rPr>
        <w:t>电气线路发生短路产生火花；导线过负荷运行、温度升高引起绝缘材料及附近可燃物着火；电源线接头处、电源线与开关、保护装备、用电设备等连接处接触不良或漏电产生火花。另外，有些电气设备在正常工作情况下就能生产火花、电弧和危险高温。如电气开关的分合，照明灯具的分合等。</w:t>
      </w:r>
    </w:p>
    <w:p w14:paraId="2113A46E">
      <w:pPr>
        <w:adjustRightInd w:val="0"/>
        <w:snapToGrid w:val="0"/>
        <w:spacing w:line="500" w:lineRule="exact"/>
        <w:ind w:firstLine="560" w:firstLineChars="200"/>
        <w:rPr>
          <w:rFonts w:ascii="宋体" w:hAnsi="宋体"/>
          <w:sz w:val="28"/>
          <w:szCs w:val="28"/>
        </w:rPr>
      </w:pPr>
      <w:r>
        <w:rPr>
          <w:rFonts w:ascii="宋体" w:hAnsi="宋体"/>
          <w:sz w:val="28"/>
          <w:szCs w:val="28"/>
        </w:rPr>
        <w:t>静电火花作为引火源可导致燃烧爆炸。只有当同时满足以下几个条件时，才能发生燃烧或爆炸：</w:t>
      </w:r>
    </w:p>
    <w:p w14:paraId="4843945D">
      <w:pPr>
        <w:adjustRightInd w:val="0"/>
        <w:snapToGrid w:val="0"/>
        <w:spacing w:line="500" w:lineRule="exact"/>
        <w:ind w:firstLine="560" w:firstLineChars="200"/>
        <w:rPr>
          <w:rFonts w:ascii="宋体" w:hAnsi="宋体"/>
          <w:sz w:val="28"/>
          <w:szCs w:val="28"/>
        </w:rPr>
      </w:pPr>
      <w:bookmarkStart w:id="206" w:name="_Toc424306022"/>
      <w:bookmarkStart w:id="207" w:name="_Toc424306273"/>
      <w:bookmarkStart w:id="208" w:name="_Toc489629040"/>
      <w:bookmarkStart w:id="209" w:name="_Toc433992372"/>
      <w:bookmarkStart w:id="210" w:name="_Toc420403890"/>
      <w:bookmarkStart w:id="211" w:name="_Toc438040925"/>
      <w:r>
        <w:rPr>
          <w:rFonts w:hint="eastAsia" w:ascii="宋体" w:hAnsi="宋体"/>
          <w:sz w:val="28"/>
          <w:szCs w:val="28"/>
        </w:rPr>
        <w:t>1）</w:t>
      </w:r>
      <w:r>
        <w:rPr>
          <w:rFonts w:ascii="宋体" w:hAnsi="宋体"/>
          <w:sz w:val="28"/>
          <w:szCs w:val="28"/>
        </w:rPr>
        <w:t>有能够产生静电的条件；</w:t>
      </w:r>
      <w:bookmarkEnd w:id="206"/>
      <w:bookmarkEnd w:id="207"/>
      <w:bookmarkEnd w:id="208"/>
      <w:bookmarkEnd w:id="209"/>
      <w:bookmarkEnd w:id="210"/>
      <w:bookmarkEnd w:id="211"/>
    </w:p>
    <w:p w14:paraId="73864205">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有能积累足够的电荷和产生火花放电电压的条件；</w:t>
      </w:r>
    </w:p>
    <w:p w14:paraId="1449DA47">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有能引起火花放电的合适的间隙；</w:t>
      </w:r>
    </w:p>
    <w:p w14:paraId="29329736">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发生的火花有足够的引燃能量；</w:t>
      </w:r>
    </w:p>
    <w:p w14:paraId="370760EB">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在间隙及周围环境中有可被引燃的可燃物与空气的混合物。</w:t>
      </w:r>
    </w:p>
    <w:p w14:paraId="6AA68ADD">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物料在灌装、管道输送、火车运输及汽车运输等过程中，由于在管道、储罐、槽车中摩擦、冲击和激溅，尤其在压力大、流速快、摩擦面积大、器壁粗糙等情况下或设备管道静电接地不良，静电荷迅速增加和大量积聚，极易产生静电放电。</w:t>
      </w:r>
    </w:p>
    <w:p w14:paraId="26D7BBFC">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禁火区域内工作人员穿化纤服装，活动时易产生静电火花；穿带铁钉鞋走动时易打火；在防爆区域内作业，使用非防爆工器具产生火花；机动车辆不戴阻火器，进入防爆区内，从排气筒内排出火花等。</w:t>
      </w:r>
    </w:p>
    <w:p w14:paraId="00EE4B2A">
      <w:pPr>
        <w:adjustRightInd w:val="0"/>
        <w:snapToGrid w:val="0"/>
        <w:spacing w:line="500" w:lineRule="exact"/>
        <w:ind w:firstLine="560" w:firstLineChars="200"/>
        <w:rPr>
          <w:rFonts w:ascii="宋体" w:hAnsi="宋体"/>
          <w:sz w:val="28"/>
          <w:szCs w:val="28"/>
        </w:rPr>
      </w:pPr>
      <w:bookmarkStart w:id="212" w:name="_Toc424306274"/>
      <w:bookmarkStart w:id="213" w:name="_Toc438040926"/>
      <w:bookmarkStart w:id="214" w:name="_Toc420403891"/>
      <w:bookmarkStart w:id="215" w:name="_Toc489629041"/>
      <w:bookmarkStart w:id="216" w:name="_Toc424306023"/>
      <w:bookmarkStart w:id="217" w:name="_Toc433992373"/>
      <w:r>
        <w:rPr>
          <w:rFonts w:hint="eastAsia" w:ascii="宋体" w:hAnsi="宋体"/>
          <w:sz w:val="28"/>
          <w:szCs w:val="28"/>
        </w:rPr>
        <w:t>4</w:t>
      </w:r>
      <w:r>
        <w:rPr>
          <w:rFonts w:ascii="宋体" w:hAnsi="宋体"/>
          <w:sz w:val="28"/>
          <w:szCs w:val="28"/>
        </w:rPr>
        <w:t>.雷击</w:t>
      </w:r>
      <w:bookmarkEnd w:id="212"/>
      <w:bookmarkEnd w:id="213"/>
      <w:bookmarkEnd w:id="214"/>
      <w:bookmarkEnd w:id="215"/>
      <w:bookmarkEnd w:id="216"/>
      <w:bookmarkEnd w:id="217"/>
    </w:p>
    <w:p w14:paraId="5012246B">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储罐及建筑物的防雷设施不安全，或因管理疏漏，导致防雷效果降低甚至失去作用，有可能在雷雨天气遭雷击，引发火灾、爆炸事故。雷击还可能引起配电间掉电，造成所有电气设备停止运转、可燃气体检测报警仪失控以及消防电动泵不能及时启动等后果，从而加大了火灾、爆炸事故扑救的难度。因此雷击也是火灾、爆炸的重要危险因素之一。</w:t>
      </w:r>
    </w:p>
    <w:p w14:paraId="0B31932B">
      <w:pPr>
        <w:adjustRightInd w:val="0"/>
        <w:snapToGrid w:val="0"/>
        <w:spacing w:line="500" w:lineRule="exact"/>
        <w:ind w:firstLine="560" w:firstLineChars="200"/>
        <w:rPr>
          <w:rFonts w:ascii="宋体" w:hAnsi="宋体"/>
          <w:sz w:val="28"/>
          <w:szCs w:val="28"/>
        </w:rPr>
      </w:pPr>
      <w:bookmarkStart w:id="218" w:name="_Toc424306275"/>
      <w:bookmarkStart w:id="219" w:name="_Toc438040927"/>
      <w:bookmarkStart w:id="220" w:name="_Toc433992374"/>
      <w:bookmarkStart w:id="221" w:name="_Toc424306024"/>
      <w:bookmarkStart w:id="222" w:name="_Toc420403892"/>
      <w:bookmarkStart w:id="223" w:name="_Toc489629042"/>
      <w:r>
        <w:rPr>
          <w:rFonts w:hint="eastAsia" w:ascii="宋体" w:hAnsi="宋体"/>
          <w:sz w:val="28"/>
          <w:szCs w:val="28"/>
        </w:rPr>
        <w:t>5</w:t>
      </w:r>
      <w:r>
        <w:rPr>
          <w:rFonts w:ascii="宋体" w:hAnsi="宋体"/>
          <w:sz w:val="28"/>
          <w:szCs w:val="28"/>
        </w:rPr>
        <w:t>.自燃、自爆</w:t>
      </w:r>
      <w:bookmarkEnd w:id="218"/>
      <w:bookmarkEnd w:id="219"/>
      <w:bookmarkEnd w:id="220"/>
      <w:bookmarkEnd w:id="221"/>
      <w:bookmarkEnd w:id="222"/>
      <w:bookmarkEnd w:id="223"/>
    </w:p>
    <w:p w14:paraId="20DDA8FA">
      <w:pPr>
        <w:spacing w:line="500" w:lineRule="exact"/>
        <w:ind w:firstLine="560" w:firstLineChars="200"/>
        <w:rPr>
          <w:rFonts w:ascii="宋体" w:hAnsi="宋体"/>
          <w:snapToGrid w:val="0"/>
          <w:kern w:val="0"/>
          <w:sz w:val="28"/>
          <w:szCs w:val="20"/>
        </w:rPr>
      </w:pPr>
      <w:r>
        <w:rPr>
          <w:rFonts w:ascii="宋体" w:hAnsi="宋体"/>
          <w:sz w:val="28"/>
          <w:szCs w:val="28"/>
        </w:rPr>
        <w:t>另外，若加油站在经营过程中进行清洗、防腐蚀、施工、使用旧油罐等处理时，放置在日光下曝晒、邻近燃烧火焰的烘烤等，易引发罐内残留油品燃烧或膨胀，从而引发储罐发生燃烧、爆炸危险</w:t>
      </w:r>
      <w:r>
        <w:rPr>
          <w:rFonts w:hint="eastAsia" w:ascii="宋体" w:hAnsi="宋体"/>
          <w:snapToGrid w:val="0"/>
          <w:kern w:val="0"/>
          <w:sz w:val="28"/>
          <w:szCs w:val="20"/>
        </w:rPr>
        <w:t>。</w:t>
      </w:r>
    </w:p>
    <w:p w14:paraId="706E35A8">
      <w:pPr>
        <w:pStyle w:val="4"/>
        <w:spacing w:afterLines="100" w:line="500" w:lineRule="exact"/>
        <w:rPr>
          <w:rFonts w:ascii="黑体" w:hAnsi="宋体"/>
          <w:kern w:val="3"/>
          <w:sz w:val="28"/>
          <w:szCs w:val="28"/>
        </w:rPr>
      </w:pPr>
      <w:bookmarkStart w:id="224" w:name="_Toc71894905"/>
      <w:bookmarkStart w:id="225" w:name="_Toc355685132"/>
      <w:r>
        <w:rPr>
          <w:rFonts w:hint="eastAsia" w:ascii="黑体" w:hAnsi="宋体"/>
          <w:kern w:val="3"/>
          <w:sz w:val="28"/>
          <w:szCs w:val="28"/>
        </w:rPr>
        <w:t>3.2.4非作业事故产生火灾分析</w:t>
      </w:r>
      <w:bookmarkEnd w:id="224"/>
      <w:bookmarkEnd w:id="225"/>
    </w:p>
    <w:p w14:paraId="6F28F558">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w:t>
      </w:r>
      <w:r>
        <w:rPr>
          <w:rFonts w:ascii="宋体" w:hAnsi="宋体"/>
          <w:sz w:val="28"/>
          <w:szCs w:val="28"/>
        </w:rPr>
        <w:t>非作业事故又可分为与油品相关的火灾和非油品火灾，对产生以上两种火灾的原因分析见表</w:t>
      </w:r>
      <w:r>
        <w:rPr>
          <w:rFonts w:hint="eastAsia" w:ascii="宋体" w:hAnsi="宋体"/>
          <w:sz w:val="28"/>
          <w:szCs w:val="28"/>
        </w:rPr>
        <w:t>3-1</w:t>
      </w:r>
      <w:r>
        <w:rPr>
          <w:rFonts w:ascii="宋体" w:hAnsi="宋体"/>
          <w:sz w:val="28"/>
          <w:szCs w:val="28"/>
        </w:rPr>
        <w:t>。</w:t>
      </w:r>
    </w:p>
    <w:p w14:paraId="409A4E9A">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1</w:t>
      </w:r>
      <w:r>
        <w:rPr>
          <w:rFonts w:ascii="宋体" w:hAnsi="宋体"/>
          <w:sz w:val="28"/>
          <w:szCs w:val="28"/>
        </w:rPr>
        <w:t>非作业事故产生火灾分析</w:t>
      </w:r>
    </w:p>
    <w:tbl>
      <w:tblPr>
        <w:tblStyle w:val="33"/>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21"/>
        <w:gridCol w:w="6329"/>
      </w:tblGrid>
      <w:tr w14:paraId="5EDF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80" w:type="dxa"/>
            <w:vAlign w:val="center"/>
          </w:tcPr>
          <w:p w14:paraId="272E1E4B">
            <w:pPr>
              <w:jc w:val="center"/>
              <w:rPr>
                <w:rFonts w:ascii="宋体" w:hAnsi="宋体"/>
                <w:szCs w:val="21"/>
              </w:rPr>
            </w:pPr>
            <w:r>
              <w:rPr>
                <w:rFonts w:hint="eastAsia" w:ascii="宋体" w:hAnsi="宋体"/>
                <w:szCs w:val="21"/>
              </w:rPr>
              <w:t>序号</w:t>
            </w:r>
          </w:p>
        </w:tc>
        <w:tc>
          <w:tcPr>
            <w:tcW w:w="1221" w:type="dxa"/>
            <w:vAlign w:val="center"/>
          </w:tcPr>
          <w:p w14:paraId="77555874">
            <w:pPr>
              <w:jc w:val="center"/>
              <w:rPr>
                <w:rFonts w:ascii="宋体" w:hAnsi="宋体"/>
                <w:szCs w:val="21"/>
              </w:rPr>
            </w:pPr>
            <w:r>
              <w:rPr>
                <w:rFonts w:hint="eastAsia" w:ascii="宋体" w:hAnsi="宋体"/>
                <w:szCs w:val="21"/>
              </w:rPr>
              <w:t>火灾类型</w:t>
            </w:r>
          </w:p>
        </w:tc>
        <w:tc>
          <w:tcPr>
            <w:tcW w:w="6329" w:type="dxa"/>
            <w:vAlign w:val="center"/>
          </w:tcPr>
          <w:p w14:paraId="4FF6B43E">
            <w:pPr>
              <w:jc w:val="center"/>
              <w:rPr>
                <w:rFonts w:ascii="宋体" w:hAnsi="宋体"/>
                <w:szCs w:val="21"/>
              </w:rPr>
            </w:pPr>
            <w:r>
              <w:rPr>
                <w:rFonts w:hint="eastAsia" w:ascii="宋体" w:hAnsi="宋体"/>
                <w:szCs w:val="21"/>
              </w:rPr>
              <w:t>产生原因</w:t>
            </w:r>
          </w:p>
        </w:tc>
      </w:tr>
      <w:tr w14:paraId="1C5F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07224B43">
            <w:pPr>
              <w:jc w:val="center"/>
              <w:rPr>
                <w:rFonts w:ascii="宋体" w:hAnsi="宋体"/>
                <w:szCs w:val="21"/>
              </w:rPr>
            </w:pPr>
            <w:r>
              <w:rPr>
                <w:rFonts w:hint="eastAsia" w:ascii="宋体" w:hAnsi="宋体"/>
                <w:szCs w:val="21"/>
              </w:rPr>
              <w:t>1</w:t>
            </w:r>
          </w:p>
        </w:tc>
        <w:tc>
          <w:tcPr>
            <w:tcW w:w="1221" w:type="dxa"/>
            <w:vAlign w:val="center"/>
          </w:tcPr>
          <w:p w14:paraId="5A4B4ADC">
            <w:pPr>
              <w:rPr>
                <w:rFonts w:ascii="宋体" w:hAnsi="宋体"/>
                <w:szCs w:val="21"/>
              </w:rPr>
            </w:pPr>
            <w:r>
              <w:rPr>
                <w:rFonts w:ascii="宋体" w:hAnsi="宋体"/>
                <w:szCs w:val="21"/>
              </w:rPr>
              <w:t>与油品相关的火灾</w:t>
            </w:r>
          </w:p>
        </w:tc>
        <w:tc>
          <w:tcPr>
            <w:tcW w:w="6329" w:type="dxa"/>
          </w:tcPr>
          <w:p w14:paraId="42DA07DF">
            <w:pPr>
              <w:rPr>
                <w:rFonts w:ascii="宋体" w:hAnsi="宋体"/>
                <w:szCs w:val="21"/>
              </w:rPr>
            </w:pPr>
            <w:r>
              <w:rPr>
                <w:rFonts w:ascii="宋体" w:hAnsi="宋体"/>
                <w:szCs w:val="21"/>
              </w:rPr>
              <w:t>1)油蒸气沉淀。在作业过程中，会有大量油蒸气外泻，由于油蒸气密度比空气密度大，会沉淀于管沟、电缆沟、下水道、操作井等低洼处，积聚于室内角落处，一旦遇到火源就会发生爆炸燃烧。油蒸气四处蔓延把加油站和作业区内外沟通起来，将站外火源引至站内，造成严重的爆炸燃烧。</w:t>
            </w:r>
          </w:p>
          <w:p w14:paraId="591F141E">
            <w:pPr>
              <w:rPr>
                <w:rFonts w:ascii="宋体" w:hAnsi="宋体"/>
                <w:szCs w:val="21"/>
              </w:rPr>
            </w:pPr>
            <w:r>
              <w:rPr>
                <w:rFonts w:ascii="宋体" w:hAnsi="宋体"/>
                <w:szCs w:val="21"/>
              </w:rPr>
              <w:t>2)油罐、管道渗漏。由于腐蚀、制造缺陷、法兰未紧固等原因，在非作业状态下，油品渗漏，遇明火燃烧。</w:t>
            </w:r>
          </w:p>
          <w:p w14:paraId="01F5CDA0">
            <w:pPr>
              <w:rPr>
                <w:rFonts w:ascii="宋体" w:hAnsi="宋体"/>
                <w:szCs w:val="21"/>
              </w:rPr>
            </w:pPr>
            <w:r>
              <w:rPr>
                <w:rFonts w:ascii="宋体" w:hAnsi="宋体"/>
                <w:szCs w:val="21"/>
              </w:rPr>
              <w:t>3)雷击。雷电直接击中油罐或加油设施，或者雷电作用在油罐或加油设施，或者雷电作用在油罐、加油机等处产生间接放电，都会导致油品燃烧或油气混合气爆炸。</w:t>
            </w:r>
          </w:p>
        </w:tc>
      </w:tr>
      <w:tr w14:paraId="41BC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789EB760">
            <w:pPr>
              <w:jc w:val="center"/>
              <w:rPr>
                <w:rFonts w:ascii="宋体" w:hAnsi="宋体"/>
                <w:szCs w:val="21"/>
              </w:rPr>
            </w:pPr>
            <w:r>
              <w:rPr>
                <w:rFonts w:hint="eastAsia" w:ascii="宋体" w:hAnsi="宋体"/>
                <w:szCs w:val="21"/>
              </w:rPr>
              <w:t>2</w:t>
            </w:r>
          </w:p>
        </w:tc>
        <w:tc>
          <w:tcPr>
            <w:tcW w:w="1221" w:type="dxa"/>
            <w:vAlign w:val="center"/>
          </w:tcPr>
          <w:p w14:paraId="147178C0">
            <w:pPr>
              <w:rPr>
                <w:rFonts w:ascii="宋体" w:hAnsi="宋体"/>
                <w:szCs w:val="21"/>
              </w:rPr>
            </w:pPr>
            <w:r>
              <w:rPr>
                <w:rFonts w:ascii="宋体" w:hAnsi="宋体"/>
                <w:szCs w:val="21"/>
              </w:rPr>
              <w:t>非油品火灾</w:t>
            </w:r>
          </w:p>
        </w:tc>
        <w:tc>
          <w:tcPr>
            <w:tcW w:w="6329" w:type="dxa"/>
          </w:tcPr>
          <w:p w14:paraId="0770789C">
            <w:pPr>
              <w:rPr>
                <w:rFonts w:ascii="宋体" w:hAnsi="宋体"/>
                <w:szCs w:val="21"/>
              </w:rPr>
            </w:pPr>
            <w:r>
              <w:rPr>
                <w:rFonts w:ascii="宋体" w:hAnsi="宋体"/>
                <w:szCs w:val="21"/>
              </w:rPr>
              <w:t>1)电气火灾。电气老化、绝缘破损、短路、私拉乱接、超负荷用电、过载、接线不规范、发热、电器使用管理不当等引起的火灾。</w:t>
            </w:r>
          </w:p>
          <w:p w14:paraId="12BA234B">
            <w:pPr>
              <w:rPr>
                <w:rFonts w:ascii="宋体" w:hAnsi="宋体"/>
                <w:szCs w:val="21"/>
              </w:rPr>
            </w:pPr>
            <w:r>
              <w:rPr>
                <w:rFonts w:ascii="宋体" w:hAnsi="宋体"/>
                <w:szCs w:val="21"/>
              </w:rPr>
              <w:t>2)明火管理不当，生产、生活用火失控，引燃站房或站外火灾蔓延殃及站内。非作业火灾、非油品火灾如不能迅速控制会蔓延至罐区、加油区，形成油品火灾，造成重大损失。</w:t>
            </w:r>
          </w:p>
        </w:tc>
      </w:tr>
    </w:tbl>
    <w:p w14:paraId="23186656">
      <w:pPr>
        <w:pStyle w:val="4"/>
        <w:spacing w:afterLines="100" w:line="500" w:lineRule="exact"/>
        <w:rPr>
          <w:rFonts w:ascii="黑体" w:hAnsi="宋体"/>
          <w:kern w:val="3"/>
          <w:sz w:val="28"/>
          <w:szCs w:val="28"/>
        </w:rPr>
      </w:pPr>
      <w:bookmarkStart w:id="226" w:name="_Toc71894906"/>
      <w:bookmarkStart w:id="227" w:name="_Toc355685133"/>
      <w:r>
        <w:rPr>
          <w:rFonts w:hint="eastAsia" w:ascii="黑体" w:hAnsi="宋体"/>
          <w:kern w:val="3"/>
          <w:sz w:val="28"/>
          <w:szCs w:val="28"/>
        </w:rPr>
        <w:t>3.2.5装置危险性分析</w:t>
      </w:r>
      <w:bookmarkEnd w:id="226"/>
      <w:bookmarkEnd w:id="227"/>
    </w:p>
    <w:p w14:paraId="11B7524D">
      <w:pPr>
        <w:spacing w:line="500" w:lineRule="exact"/>
        <w:ind w:firstLine="560" w:firstLineChars="200"/>
        <w:rPr>
          <w:rFonts w:ascii="宋体" w:hAnsi="宋体"/>
          <w:sz w:val="28"/>
          <w:szCs w:val="28"/>
        </w:rPr>
      </w:pPr>
      <w:r>
        <w:rPr>
          <w:rFonts w:ascii="宋体" w:hAnsi="宋体"/>
          <w:sz w:val="28"/>
          <w:szCs w:val="28"/>
        </w:rPr>
        <w:t>装置在运行过程中主要燃烧爆炸物质绝大多数存在于储罐、管道、阀门内部，是火灾爆炸事故发生和灾害扩大的根源。少数燃烧爆炸的物质存在于设备的外部，主要危险在于发生火灾爆炸后影响装置的正常运行，及至引起装置内部燃烧物质发生事故</w:t>
      </w:r>
      <w:r>
        <w:rPr>
          <w:rFonts w:hint="eastAsia" w:ascii="宋体" w:hAnsi="宋体"/>
          <w:sz w:val="28"/>
          <w:szCs w:val="28"/>
        </w:rPr>
        <w:t>。</w:t>
      </w:r>
    </w:p>
    <w:p w14:paraId="178BDA3E">
      <w:pPr>
        <w:pStyle w:val="4"/>
        <w:spacing w:afterLines="100" w:line="500" w:lineRule="exact"/>
        <w:rPr>
          <w:rFonts w:ascii="黑体" w:hAnsi="宋体"/>
          <w:kern w:val="3"/>
          <w:sz w:val="28"/>
          <w:szCs w:val="28"/>
        </w:rPr>
      </w:pPr>
      <w:bookmarkStart w:id="228" w:name="_Toc355685134"/>
      <w:bookmarkStart w:id="229" w:name="_Toc71894907"/>
      <w:r>
        <w:rPr>
          <w:rFonts w:hint="eastAsia" w:ascii="黑体" w:hAnsi="宋体"/>
          <w:kern w:val="3"/>
          <w:sz w:val="28"/>
          <w:szCs w:val="28"/>
        </w:rPr>
        <w:t>3.2.5.1加油机危险性分析</w:t>
      </w:r>
      <w:bookmarkEnd w:id="228"/>
      <w:bookmarkEnd w:id="229"/>
    </w:p>
    <w:p w14:paraId="01FCF737">
      <w:pPr>
        <w:adjustRightInd w:val="0"/>
        <w:snapToGrid w:val="0"/>
        <w:spacing w:line="500" w:lineRule="exact"/>
        <w:ind w:firstLine="560" w:firstLineChars="200"/>
        <w:rPr>
          <w:rFonts w:ascii="宋体" w:hAnsi="宋体"/>
          <w:sz w:val="28"/>
          <w:szCs w:val="28"/>
        </w:rPr>
      </w:pPr>
      <w:r>
        <w:rPr>
          <w:rFonts w:ascii="宋体" w:hAnsi="宋体"/>
          <w:sz w:val="28"/>
          <w:szCs w:val="28"/>
        </w:rPr>
        <w:t>加油机是该加油站运行设备的重要部分。如因安装、调试、使用或检修措施不当，极有可能引起加油机爆炸。加油机发生爆炸的原因主要有：</w:t>
      </w:r>
    </w:p>
    <w:p w14:paraId="5C500E0E">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加油机整机防爆性能不合格，使用过程中泄漏油气与空气在加油机内部形成爆炸性混合气体，遇火花或高热而发生瞬间爆炸；</w:t>
      </w:r>
    </w:p>
    <w:p w14:paraId="61029E0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加油防爆接线盒无密封垫或密封垫老化、破损，导致密封不严，导致接线盒电源输入、输出口密封不严而引起爆炸；</w:t>
      </w:r>
    </w:p>
    <w:p w14:paraId="32736F1B">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加油枪与输油橡胶管内金属接地线连接不好，在加油过程中易引起静电火灾；</w:t>
      </w:r>
    </w:p>
    <w:p w14:paraId="41D87384">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加油机安装质量不合格，或电源线截面积不足，在运行中电源线超负荷而发热，散热不良，或是电源线老化、破损，导致加油机爆炸；</w:t>
      </w:r>
    </w:p>
    <w:p w14:paraId="4F95D1F8">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加油机防雷防静电接地不良，导致静电积聚而引发火灾和爆炸事故；</w:t>
      </w:r>
    </w:p>
    <w:p w14:paraId="35AC48AB">
      <w:pPr>
        <w:adjustRightInd w:val="0"/>
        <w:snapToGrid w:val="0"/>
        <w:spacing w:line="500" w:lineRule="exact"/>
        <w:ind w:firstLine="560" w:firstLineChars="200"/>
        <w:rPr>
          <w:rFonts w:ascii="宋体" w:hAnsi="宋体"/>
          <w:sz w:val="28"/>
          <w:szCs w:val="28"/>
        </w:rPr>
      </w:pPr>
      <w:r>
        <w:rPr>
          <w:rFonts w:hint="eastAsia" w:ascii="宋体" w:hAnsi="宋体"/>
          <w:sz w:val="28"/>
          <w:szCs w:val="28"/>
        </w:rPr>
        <w:t>6.</w:t>
      </w:r>
      <w:r>
        <w:rPr>
          <w:rFonts w:ascii="宋体" w:hAnsi="宋体"/>
          <w:sz w:val="28"/>
          <w:szCs w:val="28"/>
        </w:rPr>
        <w:t>加油机漏电。加油机漏电时，极易造成火灾与人身伤害事故，危险性很大，主要有以下原因：</w:t>
      </w:r>
    </w:p>
    <w:p w14:paraId="1B412617">
      <w:pPr>
        <w:adjustRightInd w:val="0"/>
        <w:snapToGrid w:val="0"/>
        <w:spacing w:line="500" w:lineRule="exact"/>
        <w:ind w:firstLine="560" w:firstLineChars="200"/>
        <w:rPr>
          <w:rFonts w:ascii="宋体" w:hAnsi="宋体"/>
          <w:sz w:val="28"/>
          <w:szCs w:val="28"/>
        </w:rPr>
      </w:pPr>
      <w:bookmarkStart w:id="230" w:name="_Toc489629046"/>
      <w:r>
        <w:rPr>
          <w:rFonts w:hint="eastAsia" w:ascii="宋体" w:hAnsi="宋体"/>
          <w:sz w:val="28"/>
          <w:szCs w:val="28"/>
        </w:rPr>
        <w:t>1）</w:t>
      </w:r>
      <w:r>
        <w:rPr>
          <w:rFonts w:ascii="宋体" w:hAnsi="宋体"/>
          <w:sz w:val="28"/>
          <w:szCs w:val="28"/>
        </w:rPr>
        <w:t>接线盒进水或接线板绝缘能力下降；</w:t>
      </w:r>
      <w:bookmarkEnd w:id="230"/>
    </w:p>
    <w:p w14:paraId="152C0A8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外电源输入线破皮又与加油机外壳相接触；</w:t>
      </w:r>
    </w:p>
    <w:p w14:paraId="467911B1">
      <w:pPr>
        <w:adjustRightInd w:val="0"/>
        <w:snapToGrid w:val="0"/>
        <w:spacing w:line="500" w:lineRule="exact"/>
        <w:ind w:firstLine="560" w:firstLineChars="200"/>
        <w:rPr>
          <w:rFonts w:ascii="宋体" w:hAnsi="宋体"/>
          <w:sz w:val="28"/>
          <w:szCs w:val="28"/>
        </w:rPr>
      </w:pPr>
      <w:bookmarkStart w:id="231" w:name="_Toc489629047"/>
      <w:r>
        <w:rPr>
          <w:rFonts w:hint="eastAsia" w:ascii="宋体" w:hAnsi="宋体"/>
          <w:sz w:val="28"/>
          <w:szCs w:val="28"/>
        </w:rPr>
        <w:t>3）</w:t>
      </w:r>
      <w:r>
        <w:rPr>
          <w:rFonts w:ascii="宋体" w:hAnsi="宋体"/>
          <w:sz w:val="28"/>
          <w:szCs w:val="28"/>
        </w:rPr>
        <w:t>加油机未设可靠的地线与漏电保护电路；</w:t>
      </w:r>
      <w:bookmarkEnd w:id="231"/>
    </w:p>
    <w:p w14:paraId="6A353070">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加油机内部电路由于其他原因而造成漏电。</w:t>
      </w:r>
    </w:p>
    <w:p w14:paraId="14236543">
      <w:pPr>
        <w:pStyle w:val="4"/>
        <w:spacing w:afterLines="100" w:line="500" w:lineRule="exact"/>
        <w:rPr>
          <w:rFonts w:ascii="黑体" w:hAnsi="宋体"/>
          <w:kern w:val="3"/>
          <w:sz w:val="28"/>
          <w:szCs w:val="28"/>
        </w:rPr>
      </w:pPr>
      <w:bookmarkStart w:id="232" w:name="_Toc71894908"/>
      <w:bookmarkStart w:id="233" w:name="_Toc355685135"/>
      <w:bookmarkStart w:id="234" w:name="_Toc208398724"/>
      <w:bookmarkStart w:id="235" w:name="_Toc239748117"/>
      <w:bookmarkStart w:id="236" w:name="_Toc194389929"/>
      <w:r>
        <w:rPr>
          <w:rFonts w:hint="eastAsia" w:ascii="黑体" w:hAnsi="宋体"/>
          <w:kern w:val="3"/>
          <w:sz w:val="28"/>
          <w:szCs w:val="28"/>
        </w:rPr>
        <w:t>3.2.5.2油罐及管道危险性分析</w:t>
      </w:r>
      <w:bookmarkEnd w:id="232"/>
      <w:bookmarkEnd w:id="233"/>
    </w:p>
    <w:p w14:paraId="394D8707">
      <w:pPr>
        <w:spacing w:line="500" w:lineRule="exact"/>
        <w:ind w:firstLine="560" w:firstLineChars="200"/>
        <w:rPr>
          <w:rFonts w:ascii="宋体" w:hAnsi="宋体"/>
          <w:kern w:val="3"/>
          <w:sz w:val="28"/>
          <w:szCs w:val="28"/>
        </w:rPr>
      </w:pPr>
      <w:r>
        <w:rPr>
          <w:rFonts w:ascii="宋体" w:hAnsi="宋体"/>
          <w:kern w:val="3"/>
          <w:sz w:val="28"/>
          <w:szCs w:val="28"/>
        </w:rPr>
        <w:t>加油站的各类事故中，油罐和管道发生事故占很大比例</w:t>
      </w:r>
      <w:r>
        <w:rPr>
          <w:rFonts w:hint="eastAsia" w:ascii="宋体" w:hAnsi="宋体"/>
          <w:kern w:val="3"/>
          <w:sz w:val="28"/>
          <w:szCs w:val="28"/>
        </w:rPr>
        <w:t>，可能存在以下危险、有害因素：</w:t>
      </w:r>
    </w:p>
    <w:p w14:paraId="36923091">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地面水进入地下油罐，使油品溢出；</w:t>
      </w:r>
    </w:p>
    <w:p w14:paraId="2916570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往油罐卸油</w:t>
      </w:r>
      <w:r>
        <w:rPr>
          <w:rFonts w:hint="eastAsia" w:ascii="宋体" w:hAnsi="宋体"/>
          <w:sz w:val="28"/>
          <w:szCs w:val="28"/>
        </w:rPr>
        <w:t>时</w:t>
      </w:r>
      <w:r>
        <w:rPr>
          <w:rFonts w:ascii="宋体" w:hAnsi="宋体"/>
          <w:sz w:val="28"/>
          <w:szCs w:val="28"/>
        </w:rPr>
        <w:t>，油气外逸遇明火引爆；</w:t>
      </w:r>
    </w:p>
    <w:p w14:paraId="2C44F80A">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接地不良，</w:t>
      </w:r>
      <w:r>
        <w:rPr>
          <w:rFonts w:hint="eastAsia" w:ascii="宋体" w:hAnsi="宋体"/>
          <w:sz w:val="28"/>
          <w:szCs w:val="28"/>
        </w:rPr>
        <w:t>通气管</w:t>
      </w:r>
      <w:r>
        <w:rPr>
          <w:rFonts w:ascii="宋体" w:hAnsi="宋体"/>
          <w:sz w:val="28"/>
          <w:szCs w:val="28"/>
        </w:rPr>
        <w:t>遇雷击，或静电</w:t>
      </w:r>
      <w:r>
        <w:rPr>
          <w:rFonts w:hint="eastAsia" w:ascii="宋体" w:hAnsi="宋体"/>
          <w:sz w:val="28"/>
          <w:szCs w:val="28"/>
        </w:rPr>
        <w:t>火花</w:t>
      </w:r>
      <w:r>
        <w:rPr>
          <w:rFonts w:ascii="宋体" w:hAnsi="宋体"/>
          <w:sz w:val="28"/>
          <w:szCs w:val="28"/>
        </w:rPr>
        <w:t>引燃引爆；</w:t>
      </w:r>
    </w:p>
    <w:p w14:paraId="529BC2F1">
      <w:pPr>
        <w:adjustRightInd w:val="0"/>
        <w:snapToGrid w:val="0"/>
        <w:spacing w:line="500" w:lineRule="exact"/>
        <w:ind w:firstLine="560" w:firstLineChars="200"/>
        <w:rPr>
          <w:rFonts w:ascii="宋体" w:hAnsi="宋体"/>
          <w:sz w:val="28"/>
          <w:szCs w:val="28"/>
        </w:rPr>
      </w:pPr>
      <w:r>
        <w:rPr>
          <w:rFonts w:hint="eastAsia" w:ascii="宋体" w:hAnsi="宋体"/>
          <w:sz w:val="28"/>
          <w:szCs w:val="28"/>
        </w:rPr>
        <w:t>4.油罐若因通气管被腐蚀破裂或设置不合理等，易造成蒸气在油罐区积聚，尤其在卸油时，排入空气中的油蒸气量会更多，可能引起进入该区域内的人员中毒、窒息。</w:t>
      </w:r>
    </w:p>
    <w:p w14:paraId="65A1FAFB">
      <w:pPr>
        <w:pStyle w:val="4"/>
        <w:spacing w:afterLines="100" w:line="500" w:lineRule="exact"/>
        <w:rPr>
          <w:rFonts w:ascii="黑体" w:hAnsi="宋体"/>
          <w:kern w:val="3"/>
          <w:sz w:val="28"/>
          <w:szCs w:val="28"/>
        </w:rPr>
      </w:pPr>
      <w:bookmarkStart w:id="237" w:name="_Toc355685136"/>
      <w:bookmarkStart w:id="238" w:name="_Toc71894909"/>
      <w:r>
        <w:rPr>
          <w:rFonts w:hint="eastAsia" w:ascii="黑体" w:hAnsi="宋体"/>
          <w:kern w:val="3"/>
          <w:sz w:val="28"/>
          <w:szCs w:val="28"/>
        </w:rPr>
        <w:t>3.2.5.3装置火灾爆炸事故类型</w:t>
      </w:r>
      <w:bookmarkEnd w:id="234"/>
      <w:bookmarkEnd w:id="235"/>
      <w:bookmarkEnd w:id="236"/>
      <w:bookmarkEnd w:id="237"/>
      <w:bookmarkEnd w:id="238"/>
    </w:p>
    <w:p w14:paraId="18EF0899">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设备、管道、阀门等外部火灾爆炸事故</w:t>
      </w:r>
    </w:p>
    <w:p w14:paraId="2A0B21CE">
      <w:pPr>
        <w:spacing w:line="500" w:lineRule="exact"/>
        <w:ind w:firstLine="560" w:firstLineChars="200"/>
        <w:rPr>
          <w:rFonts w:ascii="宋体" w:hAnsi="宋体"/>
          <w:sz w:val="28"/>
          <w:szCs w:val="28"/>
        </w:rPr>
      </w:pPr>
      <w:r>
        <w:rPr>
          <w:rFonts w:ascii="宋体" w:hAnsi="宋体"/>
          <w:sz w:val="28"/>
          <w:szCs w:val="28"/>
        </w:rPr>
        <w:t>这类事故是指易燃液体泄漏在密闭装置系统以外形成的燃烧、爆炸性混合物的燃烧、爆炸，但未引起装置密闭系统内部的物料燃烧或爆炸。这种类型的火灾爆炸事故，如果发现及时，能够立即控制和隔离，但若发现不及时，使火势蔓延，就可能导致内部的物料燃烧或爆炸。其影响的程度与事故涉及的范围、设备损坏程度、材料及备件储备情况、修复难易程度有关系。</w:t>
      </w:r>
    </w:p>
    <w:p w14:paraId="401838C3">
      <w:pPr>
        <w:adjustRightInd w:val="0"/>
        <w:snapToGrid w:val="0"/>
        <w:spacing w:line="500" w:lineRule="exact"/>
        <w:ind w:firstLine="560" w:firstLineChars="200"/>
        <w:rPr>
          <w:rFonts w:ascii="宋体" w:hAnsi="宋体"/>
          <w:sz w:val="28"/>
          <w:szCs w:val="28"/>
        </w:rPr>
      </w:pPr>
      <w:bookmarkStart w:id="239" w:name="_Toc424306281"/>
      <w:bookmarkStart w:id="240" w:name="_Toc489629050"/>
      <w:bookmarkStart w:id="241" w:name="_Toc424306030"/>
      <w:bookmarkStart w:id="242" w:name="_Toc433992380"/>
      <w:bookmarkStart w:id="243" w:name="_Toc420403898"/>
      <w:bookmarkStart w:id="244" w:name="_Toc438040933"/>
      <w:r>
        <w:rPr>
          <w:rFonts w:hint="eastAsia" w:ascii="宋体" w:hAnsi="宋体"/>
          <w:sz w:val="28"/>
          <w:szCs w:val="28"/>
        </w:rPr>
        <w:t>2.</w:t>
      </w:r>
      <w:r>
        <w:rPr>
          <w:rFonts w:ascii="宋体" w:hAnsi="宋体"/>
          <w:sz w:val="28"/>
          <w:szCs w:val="28"/>
        </w:rPr>
        <w:t>外部着火爆炸引起设备、管道内部物料的火灾爆炸事故</w:t>
      </w:r>
      <w:bookmarkEnd w:id="239"/>
      <w:bookmarkEnd w:id="240"/>
      <w:bookmarkEnd w:id="241"/>
      <w:bookmarkEnd w:id="242"/>
      <w:bookmarkEnd w:id="243"/>
      <w:bookmarkEnd w:id="244"/>
    </w:p>
    <w:p w14:paraId="504D3F66">
      <w:pPr>
        <w:spacing w:line="500" w:lineRule="exact"/>
        <w:ind w:firstLine="560" w:firstLineChars="200"/>
        <w:rPr>
          <w:rFonts w:ascii="宋体" w:hAnsi="宋体"/>
          <w:sz w:val="28"/>
          <w:szCs w:val="28"/>
        </w:rPr>
      </w:pPr>
      <w:r>
        <w:rPr>
          <w:rFonts w:ascii="宋体" w:hAnsi="宋体"/>
          <w:sz w:val="28"/>
          <w:szCs w:val="28"/>
        </w:rPr>
        <w:t>这种类型的事故多数是由于第一种类型事故没有及时发现或控制不住，将设备、管道、阀门、法兰等烧烤变形或破裂等造成物料外泄着火。如果得不到及时的控制，现场周围的电气、仪表、设备、设施都将被破坏，使事故进一步扩大化，可导致经营中断，甚至造成区域性经济损失和人员伤亡。</w:t>
      </w:r>
    </w:p>
    <w:p w14:paraId="77CDA747">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设备、管道、阀门等泄漏物料燃烧或爆炸，波及外部设备、设施</w:t>
      </w:r>
      <w:r>
        <w:rPr>
          <w:rFonts w:hint="eastAsia" w:ascii="宋体" w:hAnsi="宋体"/>
          <w:sz w:val="28"/>
          <w:szCs w:val="28"/>
        </w:rPr>
        <w:t>。</w:t>
      </w:r>
      <w:r>
        <w:rPr>
          <w:rFonts w:ascii="宋体" w:hAnsi="宋体"/>
          <w:sz w:val="28"/>
          <w:szCs w:val="28"/>
        </w:rPr>
        <w:t>泄漏物在容器外形成可燃蒸气云，由于泄漏地点和火源往往有一定距离，在引燃前有一段延迟时间，其长短变化相当大，可从几秒到几小时，一旦点燃会接连不断地发生爆炸，可燃蒸气云扩散到的地方，都会容易产生爆炸的危险</w:t>
      </w:r>
      <w:r>
        <w:rPr>
          <w:rFonts w:hint="eastAsia" w:ascii="宋体" w:hAnsi="宋体"/>
          <w:sz w:val="28"/>
          <w:szCs w:val="28"/>
        </w:rPr>
        <w:t>。</w:t>
      </w:r>
    </w:p>
    <w:p w14:paraId="49F96497">
      <w:pPr>
        <w:pStyle w:val="4"/>
        <w:spacing w:afterLines="100" w:line="500" w:lineRule="exact"/>
        <w:rPr>
          <w:rFonts w:ascii="黑体" w:hAnsi="宋体"/>
          <w:kern w:val="3"/>
          <w:sz w:val="28"/>
          <w:szCs w:val="28"/>
        </w:rPr>
      </w:pPr>
      <w:bookmarkStart w:id="245" w:name="_Toc71894910"/>
      <w:bookmarkStart w:id="246" w:name="_Toc355685137"/>
      <w:r>
        <w:rPr>
          <w:rFonts w:hint="eastAsia" w:ascii="黑体" w:hAnsi="宋体"/>
          <w:kern w:val="3"/>
          <w:sz w:val="28"/>
          <w:szCs w:val="28"/>
        </w:rPr>
        <w:t>3.2.6</w:t>
      </w:r>
      <w:r>
        <w:rPr>
          <w:rFonts w:ascii="黑体" w:hAnsi="宋体"/>
          <w:kern w:val="3"/>
          <w:sz w:val="28"/>
          <w:szCs w:val="28"/>
        </w:rPr>
        <w:t>工艺过程中的危险性分析</w:t>
      </w:r>
      <w:bookmarkEnd w:id="245"/>
      <w:bookmarkEnd w:id="246"/>
    </w:p>
    <w:p w14:paraId="4EF48C65">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加油站</w:t>
      </w:r>
      <w:r>
        <w:rPr>
          <w:rFonts w:ascii="宋体" w:hAnsi="宋体"/>
          <w:snapToGrid w:val="0"/>
          <w:kern w:val="0"/>
          <w:sz w:val="28"/>
          <w:szCs w:val="28"/>
        </w:rPr>
        <w:t>工艺过程的主要危险存在于量油、卸油、加油、清罐</w:t>
      </w:r>
      <w:r>
        <w:rPr>
          <w:rFonts w:hint="eastAsia" w:ascii="宋体" w:hAnsi="宋体"/>
          <w:snapToGrid w:val="0"/>
          <w:kern w:val="0"/>
          <w:sz w:val="28"/>
          <w:szCs w:val="28"/>
        </w:rPr>
        <w:t>、检修5</w:t>
      </w:r>
      <w:r>
        <w:rPr>
          <w:rFonts w:ascii="宋体" w:hAnsi="宋体"/>
          <w:snapToGrid w:val="0"/>
          <w:kern w:val="0"/>
          <w:sz w:val="28"/>
          <w:szCs w:val="28"/>
        </w:rPr>
        <w:t>个环节中，这</w:t>
      </w:r>
      <w:r>
        <w:rPr>
          <w:rFonts w:hint="eastAsia" w:ascii="宋体" w:hAnsi="宋体"/>
          <w:snapToGrid w:val="0"/>
          <w:kern w:val="0"/>
          <w:sz w:val="28"/>
          <w:szCs w:val="28"/>
        </w:rPr>
        <w:t>5</w:t>
      </w:r>
      <w:r>
        <w:rPr>
          <w:rFonts w:ascii="宋体" w:hAnsi="宋体"/>
          <w:snapToGrid w:val="0"/>
          <w:kern w:val="0"/>
          <w:sz w:val="28"/>
          <w:szCs w:val="28"/>
        </w:rPr>
        <w:t>个环节都使油品暴露在空气中，如果在以上环节中违规操作，使油品或油品蒸气在空气中与火源接触，就会导致燃烧、爆炸事故的发生。对本项目各环节存在的事故类型及产生的原因分析见表</w:t>
      </w:r>
      <w:r>
        <w:rPr>
          <w:rFonts w:hint="eastAsia" w:ascii="宋体" w:hAnsi="宋体"/>
          <w:snapToGrid w:val="0"/>
          <w:kern w:val="0"/>
          <w:sz w:val="28"/>
          <w:szCs w:val="28"/>
        </w:rPr>
        <w:t>3-2</w:t>
      </w:r>
      <w:r>
        <w:rPr>
          <w:rFonts w:ascii="宋体" w:hAnsi="宋体"/>
          <w:snapToGrid w:val="0"/>
          <w:kern w:val="0"/>
          <w:sz w:val="28"/>
          <w:szCs w:val="28"/>
        </w:rPr>
        <w:t>。</w:t>
      </w:r>
      <w:bookmarkStart w:id="247" w:name="_Toc191728177"/>
      <w:bookmarkStart w:id="248" w:name="_Toc194389934"/>
      <w:bookmarkStart w:id="249" w:name="_Toc208398729"/>
      <w:bookmarkStart w:id="250" w:name="_Toc191729737"/>
      <w:bookmarkStart w:id="251" w:name="_Toc239748122"/>
    </w:p>
    <w:p w14:paraId="287CAFC4">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w:t>
      </w:r>
      <w:r>
        <w:rPr>
          <w:rFonts w:hint="eastAsia" w:ascii="宋体" w:hAnsi="宋体"/>
          <w:sz w:val="28"/>
          <w:szCs w:val="28"/>
        </w:rPr>
        <w:t>3</w:t>
      </w:r>
      <w:r>
        <w:rPr>
          <w:rFonts w:ascii="宋体" w:hAnsi="宋体"/>
          <w:sz w:val="28"/>
          <w:szCs w:val="28"/>
        </w:rPr>
        <w:t>-</w:t>
      </w:r>
      <w:r>
        <w:rPr>
          <w:rFonts w:hint="eastAsia" w:ascii="宋体" w:hAnsi="宋体"/>
          <w:sz w:val="28"/>
          <w:szCs w:val="28"/>
        </w:rPr>
        <w:t>2</w:t>
      </w:r>
      <w:r>
        <w:rPr>
          <w:rFonts w:ascii="宋体" w:hAnsi="宋体"/>
          <w:sz w:val="28"/>
          <w:szCs w:val="28"/>
        </w:rPr>
        <w:t xml:space="preserve"> 各环节存在的事故类型及产生的原因分析表</w:t>
      </w:r>
    </w:p>
    <w:tbl>
      <w:tblPr>
        <w:tblStyle w:val="3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706"/>
        <w:gridCol w:w="840"/>
        <w:gridCol w:w="6345"/>
      </w:tblGrid>
      <w:tr w14:paraId="24B4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466" w:type="dxa"/>
            <w:vAlign w:val="center"/>
          </w:tcPr>
          <w:p w14:paraId="1E0072F0">
            <w:pPr>
              <w:spacing w:line="280" w:lineRule="exact"/>
              <w:rPr>
                <w:rFonts w:ascii="宋体" w:hAnsi="宋体"/>
                <w:szCs w:val="21"/>
              </w:rPr>
            </w:pPr>
            <w:r>
              <w:rPr>
                <w:rFonts w:ascii="宋体" w:hAnsi="宋体"/>
                <w:szCs w:val="21"/>
              </w:rPr>
              <w:t>序号</w:t>
            </w:r>
          </w:p>
        </w:tc>
        <w:tc>
          <w:tcPr>
            <w:tcW w:w="706" w:type="dxa"/>
            <w:vAlign w:val="center"/>
          </w:tcPr>
          <w:p w14:paraId="09F1AB30">
            <w:pPr>
              <w:spacing w:line="280" w:lineRule="exact"/>
              <w:rPr>
                <w:rFonts w:ascii="宋体" w:hAnsi="宋体"/>
                <w:szCs w:val="21"/>
              </w:rPr>
            </w:pPr>
            <w:r>
              <w:rPr>
                <w:rFonts w:ascii="宋体" w:hAnsi="宋体"/>
                <w:szCs w:val="21"/>
              </w:rPr>
              <w:t>工艺环节</w:t>
            </w:r>
          </w:p>
        </w:tc>
        <w:tc>
          <w:tcPr>
            <w:tcW w:w="840" w:type="dxa"/>
            <w:vAlign w:val="center"/>
          </w:tcPr>
          <w:p w14:paraId="28EC4513">
            <w:pPr>
              <w:spacing w:line="280" w:lineRule="exact"/>
              <w:jc w:val="left"/>
              <w:rPr>
                <w:rFonts w:ascii="宋体" w:hAnsi="宋体"/>
                <w:szCs w:val="21"/>
              </w:rPr>
            </w:pPr>
            <w:r>
              <w:rPr>
                <w:rFonts w:ascii="宋体" w:hAnsi="宋体"/>
                <w:szCs w:val="21"/>
              </w:rPr>
              <w:t>事故类型</w:t>
            </w:r>
          </w:p>
        </w:tc>
        <w:tc>
          <w:tcPr>
            <w:tcW w:w="6345" w:type="dxa"/>
            <w:vAlign w:val="center"/>
          </w:tcPr>
          <w:p w14:paraId="6862AF96">
            <w:pPr>
              <w:spacing w:line="280" w:lineRule="exact"/>
              <w:rPr>
                <w:rFonts w:ascii="宋体" w:hAnsi="宋体"/>
                <w:szCs w:val="21"/>
              </w:rPr>
            </w:pPr>
            <w:r>
              <w:rPr>
                <w:rFonts w:ascii="宋体" w:hAnsi="宋体"/>
                <w:szCs w:val="21"/>
              </w:rPr>
              <w:t>产生原因</w:t>
            </w:r>
          </w:p>
        </w:tc>
      </w:tr>
      <w:tr w14:paraId="047D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329D2612">
            <w:pPr>
              <w:spacing w:line="280" w:lineRule="exact"/>
              <w:rPr>
                <w:rFonts w:ascii="宋体" w:hAnsi="宋体"/>
                <w:szCs w:val="21"/>
              </w:rPr>
            </w:pPr>
            <w:r>
              <w:rPr>
                <w:rFonts w:ascii="宋体" w:hAnsi="宋体"/>
                <w:szCs w:val="21"/>
              </w:rPr>
              <w:t>1</w:t>
            </w:r>
          </w:p>
        </w:tc>
        <w:tc>
          <w:tcPr>
            <w:tcW w:w="706" w:type="dxa"/>
            <w:vAlign w:val="center"/>
          </w:tcPr>
          <w:p w14:paraId="072ED35E">
            <w:pPr>
              <w:spacing w:line="280" w:lineRule="exact"/>
              <w:rPr>
                <w:rFonts w:ascii="宋体" w:hAnsi="宋体"/>
                <w:szCs w:val="21"/>
              </w:rPr>
            </w:pPr>
            <w:r>
              <w:rPr>
                <w:rFonts w:ascii="宋体" w:hAnsi="宋体"/>
                <w:szCs w:val="21"/>
              </w:rPr>
              <w:t>量油</w:t>
            </w:r>
          </w:p>
        </w:tc>
        <w:tc>
          <w:tcPr>
            <w:tcW w:w="840" w:type="dxa"/>
            <w:vAlign w:val="center"/>
          </w:tcPr>
          <w:p w14:paraId="392F924B">
            <w:pPr>
              <w:spacing w:line="280" w:lineRule="exact"/>
              <w:jc w:val="left"/>
              <w:rPr>
                <w:rFonts w:ascii="宋体" w:hAnsi="宋体"/>
                <w:szCs w:val="21"/>
              </w:rPr>
            </w:pPr>
            <w:r>
              <w:rPr>
                <w:rFonts w:ascii="宋体" w:hAnsi="宋体"/>
                <w:szCs w:val="21"/>
              </w:rPr>
              <w:t>火灾、爆炸、高处坠落</w:t>
            </w:r>
            <w:r>
              <w:rPr>
                <w:rFonts w:hint="eastAsia" w:ascii="宋体" w:hAnsi="宋体"/>
                <w:szCs w:val="21"/>
              </w:rPr>
              <w:t>、中毒窒息</w:t>
            </w:r>
          </w:p>
        </w:tc>
        <w:tc>
          <w:tcPr>
            <w:tcW w:w="6345" w:type="dxa"/>
          </w:tcPr>
          <w:p w14:paraId="0958CE3B">
            <w:pPr>
              <w:spacing w:line="280" w:lineRule="exact"/>
              <w:rPr>
                <w:rFonts w:ascii="宋体" w:hAnsi="宋体"/>
                <w:szCs w:val="21"/>
              </w:rPr>
            </w:pPr>
            <w:r>
              <w:rPr>
                <w:rFonts w:ascii="宋体" w:hAnsi="宋体"/>
                <w:szCs w:val="21"/>
              </w:rPr>
              <w:t>1）按规定，油罐车送油到站后应静置稳油1</w:t>
            </w:r>
            <w:r>
              <w:rPr>
                <w:rFonts w:hint="eastAsia" w:ascii="宋体" w:hAnsi="宋体"/>
                <w:szCs w:val="21"/>
              </w:rPr>
              <w:t>5</w:t>
            </w:r>
            <w:r>
              <w:rPr>
                <w:rFonts w:ascii="宋体" w:hAnsi="宋体"/>
                <w:szCs w:val="21"/>
              </w:rPr>
              <w:t>min，待静电消除后方可开盖量油，如果车到立即开盖量油，就会引起静电起火；</w:t>
            </w:r>
          </w:p>
          <w:p w14:paraId="19236772">
            <w:pPr>
              <w:spacing w:line="280" w:lineRule="exact"/>
              <w:rPr>
                <w:rFonts w:ascii="宋体" w:hAnsi="宋体"/>
                <w:szCs w:val="21"/>
              </w:rPr>
            </w:pPr>
            <w:r>
              <w:rPr>
                <w:rFonts w:ascii="宋体" w:hAnsi="宋体"/>
                <w:szCs w:val="21"/>
              </w:rPr>
              <w:t>2）如果油罐未安装量油孔或量油孔铝质（铜质）镶槽脱落，在储油罐量油时，量油尺与钢质管口摩擦产生火花，就会点燃罐内油蒸气，引起爆炸燃烧；</w:t>
            </w:r>
          </w:p>
          <w:p w14:paraId="7D07DAEB">
            <w:pPr>
              <w:spacing w:line="280" w:lineRule="exact"/>
              <w:rPr>
                <w:rFonts w:ascii="宋体" w:hAnsi="宋体"/>
                <w:szCs w:val="21"/>
              </w:rPr>
            </w:pPr>
            <w:r>
              <w:rPr>
                <w:rFonts w:ascii="宋体" w:hAnsi="宋体"/>
                <w:szCs w:val="21"/>
              </w:rPr>
              <w:t>3）在气压低、无风的环境下，穿化纤服装，摩擦产生的静电火花也能点燃油蒸气</w:t>
            </w:r>
            <w:r>
              <w:rPr>
                <w:rFonts w:hint="eastAsia" w:ascii="宋体" w:hAnsi="宋体"/>
                <w:szCs w:val="21"/>
              </w:rPr>
              <w:t>；</w:t>
            </w:r>
          </w:p>
          <w:p w14:paraId="27DC3068">
            <w:pPr>
              <w:spacing w:line="280" w:lineRule="exact"/>
              <w:rPr>
                <w:rFonts w:ascii="宋体" w:hAnsi="宋体"/>
                <w:szCs w:val="21"/>
              </w:rPr>
            </w:pPr>
            <w:r>
              <w:rPr>
                <w:rFonts w:ascii="宋体" w:hAnsi="宋体"/>
                <w:szCs w:val="21"/>
              </w:rPr>
              <w:t>4）未按操作规程进行操作，作业人员在罐车上未采取相应的防坠落措施；</w:t>
            </w:r>
          </w:p>
          <w:p w14:paraId="07C1BE23">
            <w:pPr>
              <w:spacing w:line="280" w:lineRule="exact"/>
              <w:rPr>
                <w:rFonts w:ascii="宋体" w:hAnsi="宋体"/>
                <w:szCs w:val="21"/>
              </w:rPr>
            </w:pPr>
            <w:r>
              <w:rPr>
                <w:rFonts w:ascii="宋体" w:hAnsi="宋体"/>
                <w:szCs w:val="21"/>
              </w:rPr>
              <w:t>5）未穿</w:t>
            </w:r>
            <w:r>
              <w:rPr>
                <w:rFonts w:hint="eastAsia" w:ascii="宋体" w:hAnsi="宋体"/>
                <w:szCs w:val="21"/>
              </w:rPr>
              <w:t>戴劳动防护用品或失效，油罐、加油机发生泄漏等危险。</w:t>
            </w:r>
          </w:p>
        </w:tc>
      </w:tr>
      <w:tr w14:paraId="187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66" w:type="dxa"/>
            <w:vAlign w:val="center"/>
          </w:tcPr>
          <w:p w14:paraId="0B823142">
            <w:pPr>
              <w:spacing w:line="280" w:lineRule="exact"/>
              <w:rPr>
                <w:rFonts w:ascii="宋体" w:hAnsi="宋体"/>
                <w:szCs w:val="21"/>
              </w:rPr>
            </w:pPr>
            <w:r>
              <w:rPr>
                <w:rFonts w:ascii="宋体" w:hAnsi="宋体"/>
                <w:szCs w:val="21"/>
              </w:rPr>
              <w:t>2</w:t>
            </w:r>
          </w:p>
        </w:tc>
        <w:tc>
          <w:tcPr>
            <w:tcW w:w="706" w:type="dxa"/>
            <w:vAlign w:val="center"/>
          </w:tcPr>
          <w:p w14:paraId="76A1E7BF">
            <w:pPr>
              <w:spacing w:line="280" w:lineRule="exact"/>
              <w:rPr>
                <w:rFonts w:ascii="宋体" w:hAnsi="宋体"/>
                <w:szCs w:val="21"/>
              </w:rPr>
            </w:pPr>
            <w:r>
              <w:rPr>
                <w:rFonts w:ascii="宋体" w:hAnsi="宋体"/>
                <w:szCs w:val="21"/>
              </w:rPr>
              <w:t>卸油</w:t>
            </w:r>
          </w:p>
        </w:tc>
        <w:tc>
          <w:tcPr>
            <w:tcW w:w="840" w:type="dxa"/>
            <w:vAlign w:val="center"/>
          </w:tcPr>
          <w:p w14:paraId="1968C64F">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2B4F3D12">
            <w:pPr>
              <w:spacing w:line="280" w:lineRule="exact"/>
              <w:rPr>
                <w:rFonts w:ascii="宋体" w:hAnsi="宋体"/>
                <w:szCs w:val="21"/>
              </w:rPr>
            </w:pPr>
            <w:r>
              <w:rPr>
                <w:rFonts w:ascii="宋体" w:hAnsi="宋体"/>
                <w:szCs w:val="21"/>
              </w:rPr>
              <w:t>1)油罐漫溢。卸油时对液位监测不及时易造成油品跑冒。油品溢出罐外后，周围空气中油蒸气的浓度迅速上升，达到或超过爆炸极限，遇到火星，随即发生爆炸燃烧。在油品漫溢时，使用金属容器刮舀，开启电灯照明观察，开窗通风，均会无意中产生火花引起大火。</w:t>
            </w:r>
          </w:p>
          <w:p w14:paraId="5A3FEB8C">
            <w:pPr>
              <w:spacing w:line="280" w:lineRule="exact"/>
              <w:rPr>
                <w:rFonts w:ascii="宋体" w:hAnsi="宋体"/>
                <w:szCs w:val="21"/>
              </w:rPr>
            </w:pPr>
            <w:r>
              <w:rPr>
                <w:rFonts w:ascii="宋体" w:hAnsi="宋体"/>
                <w:szCs w:val="21"/>
              </w:rPr>
              <w:t>2)油品滴漏。由于卸油胶管破裂、密封垫破损、快速接头紧固栓松动等原因，使油品滴漏至地面，遇火花立即燃烧。</w:t>
            </w:r>
          </w:p>
          <w:p w14:paraId="26D9D7F9">
            <w:pPr>
              <w:spacing w:line="280" w:lineRule="exact"/>
              <w:rPr>
                <w:rFonts w:ascii="宋体" w:hAnsi="宋体"/>
                <w:szCs w:val="21"/>
              </w:rPr>
            </w:pPr>
            <w:r>
              <w:rPr>
                <w:rFonts w:ascii="宋体" w:hAnsi="宋体"/>
                <w:szCs w:val="21"/>
              </w:rPr>
              <w:t>3)静电起火。由于油管无静电接地、采用喷溅式卸油、卸油中油罐车无静电接地等原因，造成静电积聚放电，点燃油蒸气。</w:t>
            </w:r>
          </w:p>
          <w:p w14:paraId="56A5AC3E">
            <w:pPr>
              <w:spacing w:line="280" w:lineRule="exact"/>
              <w:rPr>
                <w:rFonts w:ascii="宋体" w:hAnsi="宋体"/>
                <w:szCs w:val="21"/>
              </w:rPr>
            </w:pPr>
            <w:r>
              <w:rPr>
                <w:rFonts w:ascii="宋体" w:hAnsi="宋体"/>
                <w:szCs w:val="21"/>
              </w:rPr>
              <w:t>4)卸油中遇明火。在非密封卸油过程中，大量油蒸气从卸油口溢出，当周围出现烟火、火花时，就会产生爆炸燃烧。</w:t>
            </w:r>
          </w:p>
        </w:tc>
      </w:tr>
      <w:tr w14:paraId="55CC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tcPr>
          <w:p w14:paraId="09CA74D2">
            <w:pPr>
              <w:spacing w:line="280" w:lineRule="exact"/>
              <w:rPr>
                <w:rFonts w:ascii="宋体" w:hAnsi="宋体"/>
                <w:szCs w:val="21"/>
              </w:rPr>
            </w:pPr>
            <w:r>
              <w:rPr>
                <w:rFonts w:ascii="宋体" w:hAnsi="宋体"/>
                <w:szCs w:val="21"/>
              </w:rPr>
              <w:t>3</w:t>
            </w:r>
          </w:p>
        </w:tc>
        <w:tc>
          <w:tcPr>
            <w:tcW w:w="706" w:type="dxa"/>
          </w:tcPr>
          <w:p w14:paraId="4F0393D2">
            <w:pPr>
              <w:spacing w:line="280" w:lineRule="exact"/>
              <w:rPr>
                <w:rFonts w:ascii="宋体" w:hAnsi="宋体"/>
                <w:szCs w:val="21"/>
              </w:rPr>
            </w:pPr>
            <w:r>
              <w:rPr>
                <w:rFonts w:ascii="宋体" w:hAnsi="宋体"/>
                <w:szCs w:val="21"/>
              </w:rPr>
              <w:t>加油</w:t>
            </w:r>
          </w:p>
        </w:tc>
        <w:tc>
          <w:tcPr>
            <w:tcW w:w="840" w:type="dxa"/>
          </w:tcPr>
          <w:p w14:paraId="0F4CF897">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5AF4C8AE">
            <w:pPr>
              <w:spacing w:line="280" w:lineRule="exact"/>
              <w:rPr>
                <w:rFonts w:ascii="宋体" w:hAnsi="宋体"/>
                <w:szCs w:val="21"/>
              </w:rPr>
            </w:pPr>
            <w:r>
              <w:rPr>
                <w:rFonts w:ascii="宋体" w:hAnsi="宋体"/>
                <w:szCs w:val="21"/>
              </w:rPr>
              <w:t>加油站未采用密封加油技术，加油时，大量油蒸气外泻，加之操作不当油品外溢等原因，在加油口附近形成了一个爆炸危险区域，遇烟火、使用手机或其他</w:t>
            </w:r>
            <w:r>
              <w:rPr>
                <w:rFonts w:hint="eastAsia" w:ascii="宋体" w:hAnsi="宋体"/>
                <w:szCs w:val="21"/>
              </w:rPr>
              <w:t>通讯</w:t>
            </w:r>
            <w:r>
              <w:rPr>
                <w:rFonts w:ascii="宋体" w:hAnsi="宋体"/>
                <w:szCs w:val="21"/>
              </w:rPr>
              <w:t>工具、铁钉鞋摩擦、金属碰撞、电器打火、发动机排气管喷火等都可导致火灾。</w:t>
            </w:r>
          </w:p>
        </w:tc>
      </w:tr>
      <w:tr w14:paraId="6FC1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490965EB">
            <w:pPr>
              <w:spacing w:line="280" w:lineRule="exact"/>
              <w:rPr>
                <w:rFonts w:ascii="宋体" w:hAnsi="宋体"/>
                <w:szCs w:val="21"/>
              </w:rPr>
            </w:pPr>
            <w:r>
              <w:rPr>
                <w:rFonts w:ascii="宋体" w:hAnsi="宋体"/>
                <w:szCs w:val="21"/>
              </w:rPr>
              <w:t>4</w:t>
            </w:r>
          </w:p>
        </w:tc>
        <w:tc>
          <w:tcPr>
            <w:tcW w:w="706" w:type="dxa"/>
            <w:vAlign w:val="center"/>
          </w:tcPr>
          <w:p w14:paraId="1CB28ED4">
            <w:pPr>
              <w:spacing w:line="280" w:lineRule="exact"/>
              <w:rPr>
                <w:rFonts w:ascii="宋体" w:hAnsi="宋体"/>
                <w:szCs w:val="21"/>
              </w:rPr>
            </w:pPr>
            <w:r>
              <w:rPr>
                <w:rFonts w:ascii="宋体" w:hAnsi="宋体"/>
                <w:szCs w:val="21"/>
              </w:rPr>
              <w:t>清罐</w:t>
            </w:r>
          </w:p>
        </w:tc>
        <w:tc>
          <w:tcPr>
            <w:tcW w:w="840" w:type="dxa"/>
            <w:vAlign w:val="center"/>
          </w:tcPr>
          <w:p w14:paraId="16087539">
            <w:pPr>
              <w:spacing w:line="280" w:lineRule="exact"/>
              <w:jc w:val="left"/>
              <w:rPr>
                <w:rFonts w:ascii="宋体" w:hAnsi="宋体"/>
                <w:szCs w:val="21"/>
              </w:rPr>
            </w:pPr>
            <w:r>
              <w:rPr>
                <w:rFonts w:ascii="宋体" w:hAnsi="宋体"/>
                <w:szCs w:val="21"/>
              </w:rPr>
              <w:t>火灾、爆炸、中毒窒息、物体打击</w:t>
            </w:r>
          </w:p>
        </w:tc>
        <w:tc>
          <w:tcPr>
            <w:tcW w:w="6345" w:type="dxa"/>
          </w:tcPr>
          <w:p w14:paraId="4BFD5E60">
            <w:pPr>
              <w:spacing w:line="280" w:lineRule="exact"/>
              <w:rPr>
                <w:rFonts w:ascii="宋体" w:hAnsi="宋体"/>
                <w:szCs w:val="21"/>
              </w:rPr>
            </w:pPr>
            <w:r>
              <w:rPr>
                <w:rFonts w:ascii="宋体" w:hAnsi="宋体"/>
                <w:szCs w:val="21"/>
              </w:rPr>
              <w:t>1）清洗油罐时形成的爆炸性混合物</w:t>
            </w:r>
            <w:r>
              <w:rPr>
                <w:rFonts w:hint="eastAsia" w:ascii="宋体" w:hAnsi="宋体"/>
                <w:szCs w:val="21"/>
              </w:rPr>
              <w:t>：</w:t>
            </w:r>
            <w:r>
              <w:rPr>
                <w:rFonts w:ascii="宋体" w:hAnsi="宋体"/>
                <w:szCs w:val="21"/>
              </w:rPr>
              <w:t>清洗油罐、设备、排气作业时现场油气弥漫，极易形成爆炸性混合气体，遇到火源便会猛烈爆炸。常用的清洗剂中，也有很大一部分属于易燃易爆物质，挥发出来的蒸气与空气混合易达到其爆炸浓度，如有机溶剂乙醇、甲醇等，遇到火源即能燃烧。</w:t>
            </w:r>
          </w:p>
          <w:p w14:paraId="527C9EA8">
            <w:pPr>
              <w:spacing w:line="280" w:lineRule="exact"/>
              <w:rPr>
                <w:rFonts w:ascii="宋体" w:hAnsi="宋体"/>
                <w:szCs w:val="21"/>
              </w:rPr>
            </w:pPr>
            <w:r>
              <w:rPr>
                <w:rFonts w:ascii="宋体" w:hAnsi="宋体"/>
                <w:szCs w:val="21"/>
              </w:rPr>
              <w:t>2）清洗时违规操作</w:t>
            </w:r>
            <w:r>
              <w:rPr>
                <w:rFonts w:hint="eastAsia" w:ascii="宋体" w:hAnsi="宋体"/>
                <w:szCs w:val="21"/>
              </w:rPr>
              <w:t>：</w:t>
            </w:r>
            <w:r>
              <w:rPr>
                <w:rFonts w:ascii="宋体" w:hAnsi="宋体"/>
                <w:szCs w:val="21"/>
              </w:rPr>
              <w:t>如果利用输油管线代替清洗设备用的进水管线，管内剩油会被带入清洗设备内，将增加不安全因素。洗罐时从油罐顶部进行喷溅式注入，或使用高压水枪或喷射蒸汽冲洗罐壁，因压力过高，喷射速度过快，都容易产生致电火花，引燃油蒸气。采用蒸汽冲洗油罐、油桶和类似容器时，孔盖、通气管、排出口未打开，会使设备内超压。而在设备冷却时若不能保证空气自动补入，会使设备内出现真空吸瘪。</w:t>
            </w:r>
          </w:p>
          <w:p w14:paraId="04BEF251">
            <w:pPr>
              <w:spacing w:line="280" w:lineRule="exact"/>
              <w:rPr>
                <w:rFonts w:ascii="宋体" w:hAnsi="宋体"/>
                <w:szCs w:val="21"/>
              </w:rPr>
            </w:pPr>
            <w:r>
              <w:rPr>
                <w:rFonts w:ascii="宋体" w:hAnsi="宋体"/>
                <w:szCs w:val="21"/>
              </w:rPr>
              <w:t>3）清洗后废物处置不当</w:t>
            </w:r>
            <w:r>
              <w:rPr>
                <w:rFonts w:hint="eastAsia" w:ascii="宋体" w:hAnsi="宋体"/>
                <w:szCs w:val="21"/>
              </w:rPr>
              <w:t>：</w:t>
            </w:r>
            <w:r>
              <w:rPr>
                <w:rFonts w:ascii="宋体" w:hAnsi="宋体"/>
                <w:szCs w:val="21"/>
              </w:rPr>
              <w:t>从设备内清理出来的废物，如硫化物，油垢等易燃、自燃物，若不及时妥善处置，将会构成危险。清洗后的废液中常含有可燃成分，如果不加以处理排放，遇火源也会引起火灾。</w:t>
            </w:r>
          </w:p>
          <w:p w14:paraId="248D99F4">
            <w:pPr>
              <w:spacing w:line="280" w:lineRule="exact"/>
              <w:rPr>
                <w:rFonts w:ascii="宋体" w:hAnsi="宋体"/>
                <w:szCs w:val="21"/>
              </w:rPr>
            </w:pPr>
            <w:r>
              <w:rPr>
                <w:rFonts w:ascii="宋体" w:hAnsi="宋体"/>
                <w:szCs w:val="21"/>
              </w:rPr>
              <w:t>4）清洗不净引起火灾</w:t>
            </w:r>
            <w:r>
              <w:rPr>
                <w:rFonts w:hint="eastAsia" w:ascii="宋体" w:hAnsi="宋体"/>
                <w:szCs w:val="21"/>
              </w:rPr>
              <w:t>：</w:t>
            </w:r>
            <w:r>
              <w:rPr>
                <w:rFonts w:ascii="宋体" w:hAnsi="宋体"/>
                <w:szCs w:val="21"/>
              </w:rPr>
              <w:t>加油站的设备盛装的油类物质火灾爆炸危险性大，如果清洗不净，会留下火灾隐患。容器中如留有油垢、残渣，即使在动火前分析的可燃气体浓度合格，动火时也可能因油垢、残渣受热分解出易燃气体，导致着火爆炸。</w:t>
            </w:r>
          </w:p>
          <w:p w14:paraId="00F21706">
            <w:pPr>
              <w:spacing w:line="280" w:lineRule="exact"/>
              <w:rPr>
                <w:rFonts w:ascii="宋体" w:hAnsi="宋体"/>
                <w:szCs w:val="21"/>
              </w:rPr>
            </w:pPr>
            <w:r>
              <w:rPr>
                <w:rFonts w:ascii="宋体" w:hAnsi="宋体"/>
                <w:szCs w:val="21"/>
              </w:rPr>
              <w:t>5）清洗场所存在的引火源</w:t>
            </w:r>
            <w:r>
              <w:rPr>
                <w:rFonts w:hint="eastAsia" w:ascii="宋体" w:hAnsi="宋体"/>
                <w:szCs w:val="21"/>
              </w:rPr>
              <w:t>：</w:t>
            </w:r>
            <w:r>
              <w:rPr>
                <w:rFonts w:ascii="宋体" w:hAnsi="宋体"/>
                <w:szCs w:val="21"/>
              </w:rPr>
              <w:t>清洗作业场所往往存在各种引火源，极易诱发事故。如照明灯具、通讯器材、动力机械等电气设备引起的电气火花；用高压水或蒸汽冲洗时产生的静电火花；使用铁质工具进行人工铲除作业时，摩擦撞击打出火花，以及管理不善的明火等。</w:t>
            </w:r>
          </w:p>
        </w:tc>
      </w:tr>
      <w:tr w14:paraId="420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5C0B9B35">
            <w:pPr>
              <w:spacing w:line="280" w:lineRule="exact"/>
              <w:rPr>
                <w:rFonts w:ascii="宋体" w:hAnsi="宋体"/>
                <w:szCs w:val="21"/>
              </w:rPr>
            </w:pPr>
            <w:r>
              <w:rPr>
                <w:rFonts w:ascii="宋体" w:hAnsi="宋体"/>
                <w:szCs w:val="21"/>
              </w:rPr>
              <w:t>5</w:t>
            </w:r>
          </w:p>
        </w:tc>
        <w:tc>
          <w:tcPr>
            <w:tcW w:w="706" w:type="dxa"/>
            <w:vAlign w:val="center"/>
          </w:tcPr>
          <w:p w14:paraId="51F10668">
            <w:pPr>
              <w:spacing w:line="280" w:lineRule="exact"/>
              <w:rPr>
                <w:rFonts w:ascii="宋体" w:hAnsi="宋体"/>
                <w:szCs w:val="21"/>
              </w:rPr>
            </w:pPr>
            <w:r>
              <w:rPr>
                <w:rFonts w:ascii="宋体" w:hAnsi="宋体"/>
                <w:szCs w:val="21"/>
              </w:rPr>
              <w:t>检修</w:t>
            </w:r>
          </w:p>
        </w:tc>
        <w:tc>
          <w:tcPr>
            <w:tcW w:w="840" w:type="dxa"/>
            <w:vAlign w:val="center"/>
          </w:tcPr>
          <w:p w14:paraId="4AE6C151">
            <w:pPr>
              <w:spacing w:line="280" w:lineRule="exact"/>
              <w:jc w:val="left"/>
              <w:rPr>
                <w:rFonts w:ascii="宋体" w:hAnsi="宋体"/>
                <w:szCs w:val="21"/>
              </w:rPr>
            </w:pPr>
            <w:r>
              <w:rPr>
                <w:rFonts w:ascii="宋体" w:hAnsi="宋体"/>
                <w:szCs w:val="21"/>
              </w:rPr>
              <w:t>火灾、爆炸、中毒窒息、起重伤害、物体打击、机械伤害、灼烫</w:t>
            </w:r>
          </w:p>
        </w:tc>
        <w:tc>
          <w:tcPr>
            <w:tcW w:w="6345" w:type="dxa"/>
          </w:tcPr>
          <w:p w14:paraId="759ED01D">
            <w:pPr>
              <w:spacing w:line="280" w:lineRule="exact"/>
              <w:rPr>
                <w:rFonts w:ascii="宋体" w:hAnsi="宋体"/>
                <w:szCs w:val="21"/>
              </w:rPr>
            </w:pPr>
            <w:r>
              <w:rPr>
                <w:rFonts w:ascii="宋体" w:hAnsi="宋体"/>
                <w:szCs w:val="21"/>
              </w:rPr>
              <w:t>1）作业前准备不充分，未对设备中残存有油污、蒸气采取清洗、置换等措施，</w:t>
            </w:r>
            <w:r>
              <w:rPr>
                <w:rFonts w:hint="eastAsia" w:ascii="宋体" w:hAnsi="宋体"/>
                <w:szCs w:val="21"/>
              </w:rPr>
              <w:t>未</w:t>
            </w:r>
            <w:r>
              <w:rPr>
                <w:rFonts w:ascii="宋体" w:hAnsi="宋体"/>
                <w:szCs w:val="21"/>
              </w:rPr>
              <w:t>彻底清除就进行检修动火，极易引起火灾爆炸事故。</w:t>
            </w:r>
          </w:p>
          <w:p w14:paraId="650FFCC1">
            <w:pPr>
              <w:spacing w:line="280" w:lineRule="exact"/>
              <w:rPr>
                <w:rFonts w:ascii="宋体" w:hAnsi="宋体"/>
                <w:szCs w:val="21"/>
              </w:rPr>
            </w:pPr>
            <w:r>
              <w:rPr>
                <w:rFonts w:ascii="宋体" w:hAnsi="宋体"/>
                <w:szCs w:val="21"/>
              </w:rPr>
              <w:t>2）修理加油设备，尤其是拆油泵、油气分离器和进油管时，容易造成油品流出，造成火灾隐患。</w:t>
            </w:r>
          </w:p>
          <w:p w14:paraId="376BD038">
            <w:pPr>
              <w:spacing w:line="280" w:lineRule="exact"/>
              <w:rPr>
                <w:rFonts w:ascii="宋体" w:hAnsi="宋体"/>
                <w:szCs w:val="21"/>
              </w:rPr>
            </w:pPr>
            <w:r>
              <w:rPr>
                <w:rFonts w:ascii="宋体" w:hAnsi="宋体"/>
                <w:szCs w:val="21"/>
              </w:rPr>
              <w:t>3）检修作业时违规操作</w:t>
            </w:r>
            <w:r>
              <w:rPr>
                <w:rFonts w:hint="eastAsia" w:ascii="宋体" w:hAnsi="宋体"/>
                <w:szCs w:val="21"/>
              </w:rPr>
              <w:t>：</w:t>
            </w:r>
            <w:r>
              <w:rPr>
                <w:rFonts w:ascii="宋体" w:hAnsi="宋体"/>
                <w:szCs w:val="21"/>
              </w:rPr>
              <w:t>检修作业常常需要动火，如焊接、切割，用喷灯、火炉烧烤煨管，在铸、锻、电钻、砂轮、熬沥青、炒沙子等临时性作业时，也可能产生火花和赤热表面。作业过程中所产生的热量远大于多数可燃物质引燃所南非的热量，如氧-乙炔焊割最高温度在3000</w:t>
            </w:r>
            <w:r>
              <w:rPr>
                <w:rFonts w:hint="eastAsia" w:ascii="宋体" w:hAnsi="宋体" w:cs="宋体"/>
                <w:szCs w:val="21"/>
              </w:rPr>
              <w:t>℃</w:t>
            </w:r>
            <w:r>
              <w:rPr>
                <w:rFonts w:ascii="宋体" w:hAnsi="宋体"/>
                <w:szCs w:val="21"/>
              </w:rPr>
              <w:t>~3200</w:t>
            </w:r>
            <w:r>
              <w:rPr>
                <w:rFonts w:hint="eastAsia" w:ascii="宋体" w:hAnsi="宋体" w:cs="宋体"/>
                <w:szCs w:val="21"/>
              </w:rPr>
              <w:t>℃</w:t>
            </w:r>
            <w:r>
              <w:rPr>
                <w:rFonts w:ascii="宋体" w:hAnsi="宋体"/>
                <w:szCs w:val="21"/>
              </w:rPr>
              <w:t>，电弧温度都在3000</w:t>
            </w:r>
            <w:r>
              <w:rPr>
                <w:rFonts w:hint="eastAsia" w:ascii="宋体" w:hAnsi="宋体" w:cs="宋体"/>
                <w:szCs w:val="21"/>
              </w:rPr>
              <w:t>℃</w:t>
            </w:r>
            <w:r>
              <w:rPr>
                <w:rFonts w:ascii="宋体" w:hAnsi="宋体"/>
                <w:szCs w:val="21"/>
              </w:rPr>
              <w:t>以上，若作业环境距离可燃物质较近，就可能引起燃烧或爆炸事故。在对用可燃材料作保温层的管道和设备焊割时，焊割的高温高热可沿金属导体传播到可燃物质上，或周围一定距离的可燃物质上。检修动火作业结束后未做认真检查，容易留下余火，这种情况下往往要经过一定时间才能形成燃烧，带有很大的隐蔽性。在用机械进行切割时，易引起对人体的机械伤害；使用电焊时，易对人造成灼烫。</w:t>
            </w:r>
          </w:p>
        </w:tc>
      </w:tr>
      <w:bookmarkEnd w:id="247"/>
      <w:bookmarkEnd w:id="248"/>
      <w:bookmarkEnd w:id="249"/>
      <w:bookmarkEnd w:id="250"/>
      <w:bookmarkEnd w:id="251"/>
    </w:tbl>
    <w:p w14:paraId="4D74F291">
      <w:pPr>
        <w:pStyle w:val="4"/>
        <w:spacing w:afterLines="100" w:line="500" w:lineRule="exact"/>
        <w:jc w:val="center"/>
        <w:rPr>
          <w:rFonts w:ascii="楷体_GB2312" w:hAnsi="宋体" w:eastAsia="楷体_GB2312"/>
          <w:kern w:val="3"/>
        </w:rPr>
      </w:pPr>
      <w:bookmarkStart w:id="252" w:name="_Toc297882593"/>
      <w:bookmarkStart w:id="253" w:name="_Toc71894911"/>
      <w:bookmarkStart w:id="254" w:name="_Toc355685138"/>
      <w:r>
        <w:rPr>
          <w:rFonts w:hint="eastAsia" w:ascii="楷体_GB2312" w:hAnsi="宋体" w:eastAsia="楷体_GB2312"/>
          <w:kern w:val="3"/>
        </w:rPr>
        <w:t>3.3 主要危险、有害因素</w:t>
      </w:r>
      <w:bookmarkEnd w:id="252"/>
      <w:bookmarkEnd w:id="253"/>
      <w:bookmarkEnd w:id="254"/>
    </w:p>
    <w:p w14:paraId="3A77DF20">
      <w:pPr>
        <w:pStyle w:val="11"/>
        <w:spacing w:line="500" w:lineRule="exact"/>
        <w:ind w:firstLine="600"/>
        <w:rPr>
          <w:rFonts w:ascii="宋体" w:hAnsi="宋体"/>
          <w:sz w:val="28"/>
        </w:rPr>
      </w:pPr>
      <w:r>
        <w:rPr>
          <w:rFonts w:hint="eastAsia" w:ascii="宋体" w:hAnsi="宋体"/>
          <w:sz w:val="28"/>
        </w:rPr>
        <w:t>《企业职工伤亡事故分类》将危险、有害因素分为</w:t>
      </w:r>
      <w:r>
        <w:rPr>
          <w:rFonts w:ascii="宋体" w:hAnsi="宋体"/>
          <w:sz w:val="28"/>
        </w:rPr>
        <w:t>20</w:t>
      </w:r>
      <w:r>
        <w:rPr>
          <w:rFonts w:hint="eastAsia" w:ascii="宋体" w:hAnsi="宋体"/>
          <w:sz w:val="28"/>
        </w:rPr>
        <w:t>类，该项目中主要存在火灾爆炸、触电、机械伤害、中毒和窒息、车辆伤害等危害；在建设过程中还存在高处坠落、物体打击、起重伤害等危害。</w:t>
      </w:r>
    </w:p>
    <w:p w14:paraId="077C365C">
      <w:pPr>
        <w:adjustRightInd w:val="0"/>
        <w:snapToGrid w:val="0"/>
        <w:spacing w:line="500" w:lineRule="exact"/>
        <w:ind w:firstLine="560" w:firstLineChars="200"/>
        <w:rPr>
          <w:rFonts w:ascii="宋体" w:hAnsi="宋体"/>
          <w:sz w:val="28"/>
          <w:szCs w:val="28"/>
        </w:rPr>
      </w:pPr>
      <w:bookmarkStart w:id="255" w:name="_Toc489629053"/>
      <w:r>
        <w:rPr>
          <w:rFonts w:hint="eastAsia" w:ascii="宋体" w:hAnsi="宋体"/>
          <w:sz w:val="28"/>
          <w:szCs w:val="28"/>
        </w:rPr>
        <w:t>1.火灾爆炸</w:t>
      </w:r>
      <w:bookmarkEnd w:id="255"/>
    </w:p>
    <w:p w14:paraId="34BBD125">
      <w:pPr>
        <w:pStyle w:val="11"/>
        <w:spacing w:line="500" w:lineRule="exact"/>
        <w:ind w:firstLine="600"/>
        <w:rPr>
          <w:rFonts w:ascii="宋体" w:hAnsi="宋体"/>
          <w:sz w:val="28"/>
        </w:rPr>
      </w:pPr>
      <w:r>
        <w:rPr>
          <w:rFonts w:hint="eastAsia" w:ascii="宋体" w:hAnsi="宋体"/>
          <w:sz w:val="28"/>
        </w:rPr>
        <w:t>火灾爆炸事故在加油站经营过程中具有：可能发生性大、伤害和损坏严重等较大的危险性。</w:t>
      </w:r>
    </w:p>
    <w:p w14:paraId="4F7168B5">
      <w:pPr>
        <w:pStyle w:val="11"/>
        <w:spacing w:line="500" w:lineRule="exact"/>
        <w:ind w:firstLine="600"/>
        <w:rPr>
          <w:rFonts w:ascii="宋体" w:hAnsi="宋体"/>
          <w:sz w:val="28"/>
        </w:rPr>
      </w:pPr>
      <w:r>
        <w:rPr>
          <w:rFonts w:hint="eastAsia" w:ascii="宋体" w:hAnsi="宋体"/>
          <w:sz w:val="28"/>
        </w:rPr>
        <w:t>加油站所经营的汽油具有易燃、易爆的特性，管理不当、操作失误、设备缺陷等原因极易造油品泄漏，泄漏油品在空气中蒸发扩散与空气混合形成爆炸性混合物，若此时遇到火源，可能发生火灾、爆炸事故。</w:t>
      </w:r>
    </w:p>
    <w:p w14:paraId="170EA3F1">
      <w:pPr>
        <w:spacing w:line="500" w:lineRule="exact"/>
        <w:ind w:firstLine="560" w:firstLineChars="200"/>
        <w:rPr>
          <w:rFonts w:ascii="宋体" w:hAnsi="宋体"/>
          <w:sz w:val="28"/>
          <w:szCs w:val="28"/>
        </w:rPr>
      </w:pPr>
      <w:r>
        <w:rPr>
          <w:rFonts w:hint="eastAsia" w:ascii="宋体" w:hAnsi="宋体"/>
          <w:sz w:val="28"/>
          <w:szCs w:val="28"/>
        </w:rPr>
        <w:t>该加油站的火灾、爆炸危险区域划分如下表所示：</w:t>
      </w:r>
    </w:p>
    <w:p w14:paraId="2ED73BAF">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-3</w:t>
      </w:r>
      <w:r>
        <w:rPr>
          <w:rFonts w:ascii="宋体" w:hAnsi="宋体"/>
          <w:sz w:val="28"/>
          <w:szCs w:val="28"/>
        </w:rPr>
        <w:t>爆炸性气体环境危险区域划分表</w:t>
      </w:r>
    </w:p>
    <w:tbl>
      <w:tblPr>
        <w:tblStyle w:val="33"/>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31"/>
        <w:gridCol w:w="6932"/>
      </w:tblGrid>
      <w:tr w14:paraId="0D27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Align w:val="center"/>
          </w:tcPr>
          <w:p w14:paraId="69D7B52F">
            <w:pPr>
              <w:spacing w:line="280" w:lineRule="exact"/>
              <w:jc w:val="center"/>
              <w:rPr>
                <w:rFonts w:ascii="宋体" w:hAnsi="宋体"/>
                <w:szCs w:val="21"/>
              </w:rPr>
            </w:pPr>
            <w:r>
              <w:rPr>
                <w:rFonts w:ascii="宋体" w:hAnsi="宋体"/>
                <w:szCs w:val="21"/>
              </w:rPr>
              <w:t>序号</w:t>
            </w:r>
          </w:p>
        </w:tc>
        <w:tc>
          <w:tcPr>
            <w:tcW w:w="931" w:type="dxa"/>
            <w:vAlign w:val="center"/>
          </w:tcPr>
          <w:p w14:paraId="32DE3792">
            <w:pPr>
              <w:spacing w:line="280" w:lineRule="exact"/>
              <w:jc w:val="center"/>
              <w:rPr>
                <w:rFonts w:ascii="宋体" w:hAnsi="宋体"/>
                <w:szCs w:val="21"/>
              </w:rPr>
            </w:pPr>
            <w:r>
              <w:rPr>
                <w:rFonts w:ascii="宋体" w:hAnsi="宋体"/>
                <w:szCs w:val="21"/>
              </w:rPr>
              <w:t>危险</w:t>
            </w:r>
          </w:p>
          <w:p w14:paraId="79F8B564">
            <w:pPr>
              <w:spacing w:line="280" w:lineRule="exact"/>
              <w:jc w:val="center"/>
              <w:rPr>
                <w:rFonts w:ascii="宋体" w:hAnsi="宋体"/>
                <w:szCs w:val="21"/>
              </w:rPr>
            </w:pPr>
            <w:r>
              <w:rPr>
                <w:rFonts w:ascii="宋体" w:hAnsi="宋体"/>
                <w:szCs w:val="21"/>
              </w:rPr>
              <w:t>区域</w:t>
            </w:r>
          </w:p>
        </w:tc>
        <w:tc>
          <w:tcPr>
            <w:tcW w:w="6932" w:type="dxa"/>
            <w:vAlign w:val="center"/>
          </w:tcPr>
          <w:p w14:paraId="677C521C">
            <w:pPr>
              <w:spacing w:line="280" w:lineRule="exact"/>
              <w:jc w:val="center"/>
              <w:rPr>
                <w:rFonts w:ascii="宋体" w:hAnsi="宋体"/>
                <w:szCs w:val="21"/>
              </w:rPr>
            </w:pPr>
            <w:r>
              <w:rPr>
                <w:rFonts w:ascii="宋体" w:hAnsi="宋体"/>
                <w:szCs w:val="21"/>
              </w:rPr>
              <w:t>划分情况</w:t>
            </w:r>
          </w:p>
        </w:tc>
      </w:tr>
      <w:tr w14:paraId="5DB4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32BE3604">
            <w:pPr>
              <w:spacing w:line="280" w:lineRule="exact"/>
              <w:jc w:val="center"/>
              <w:rPr>
                <w:rFonts w:ascii="宋体" w:hAnsi="宋体"/>
                <w:szCs w:val="21"/>
              </w:rPr>
            </w:pPr>
            <w:r>
              <w:rPr>
                <w:rFonts w:ascii="宋体" w:hAnsi="宋体"/>
                <w:szCs w:val="21"/>
              </w:rPr>
              <w:t>1</w:t>
            </w:r>
          </w:p>
        </w:tc>
        <w:tc>
          <w:tcPr>
            <w:tcW w:w="931" w:type="dxa"/>
            <w:vAlign w:val="center"/>
          </w:tcPr>
          <w:p w14:paraId="712D87FC">
            <w:pPr>
              <w:spacing w:line="280" w:lineRule="exact"/>
              <w:jc w:val="center"/>
              <w:rPr>
                <w:rFonts w:ascii="宋体" w:hAnsi="宋体"/>
                <w:szCs w:val="21"/>
              </w:rPr>
            </w:pPr>
            <w:r>
              <w:rPr>
                <w:rFonts w:hint="eastAsia" w:ascii="宋体" w:hAnsi="宋体"/>
                <w:szCs w:val="21"/>
              </w:rPr>
              <w:t>加油区</w:t>
            </w:r>
          </w:p>
        </w:tc>
        <w:tc>
          <w:tcPr>
            <w:tcW w:w="6932" w:type="dxa"/>
          </w:tcPr>
          <w:p w14:paraId="1C908C08">
            <w:pPr>
              <w:spacing w:line="280" w:lineRule="exact"/>
              <w:rPr>
                <w:rFonts w:ascii="宋体" w:hAnsi="宋体"/>
                <w:szCs w:val="21"/>
              </w:rPr>
            </w:pPr>
            <w:r>
              <w:rPr>
                <w:rFonts w:ascii="宋体" w:hAnsi="宋体"/>
                <w:szCs w:val="21"/>
              </w:rPr>
              <w:t>加油机壳体内部空间为1区，以加油机中心线为中心线，以半径为4.5m的地面区域为底面和以加油机顶部以上0.15m半径为3m的平面为顶面的圆台形空间为2区。</w:t>
            </w:r>
          </w:p>
        </w:tc>
      </w:tr>
      <w:tr w14:paraId="6FB8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3DDF026">
            <w:pPr>
              <w:spacing w:line="280" w:lineRule="exact"/>
              <w:jc w:val="center"/>
              <w:rPr>
                <w:rFonts w:ascii="宋体" w:hAnsi="宋体"/>
                <w:szCs w:val="21"/>
              </w:rPr>
            </w:pPr>
            <w:r>
              <w:rPr>
                <w:rFonts w:ascii="宋体" w:hAnsi="宋体"/>
                <w:szCs w:val="21"/>
              </w:rPr>
              <w:t>2</w:t>
            </w:r>
          </w:p>
        </w:tc>
        <w:tc>
          <w:tcPr>
            <w:tcW w:w="931" w:type="dxa"/>
            <w:vAlign w:val="center"/>
          </w:tcPr>
          <w:p w14:paraId="7CABBA9F">
            <w:pPr>
              <w:spacing w:line="280" w:lineRule="exact"/>
              <w:jc w:val="center"/>
              <w:rPr>
                <w:rFonts w:ascii="宋体" w:hAnsi="宋体"/>
                <w:szCs w:val="21"/>
              </w:rPr>
            </w:pPr>
            <w:r>
              <w:rPr>
                <w:rFonts w:hint="eastAsia" w:ascii="宋体" w:hAnsi="宋体"/>
                <w:szCs w:val="21"/>
              </w:rPr>
              <w:t>卸油区</w:t>
            </w:r>
          </w:p>
        </w:tc>
        <w:tc>
          <w:tcPr>
            <w:tcW w:w="6932" w:type="dxa"/>
          </w:tcPr>
          <w:p w14:paraId="0B820956">
            <w:pPr>
              <w:spacing w:line="280" w:lineRule="exact"/>
              <w:rPr>
                <w:rFonts w:ascii="宋体" w:hAnsi="宋体"/>
                <w:szCs w:val="21"/>
              </w:rPr>
            </w:pPr>
            <w:r>
              <w:rPr>
                <w:rFonts w:ascii="宋体" w:hAnsi="宋体"/>
                <w:szCs w:val="21"/>
              </w:rPr>
              <w:t>卸油时，油罐车内部油品表面以上空间为0区；以通气口为中心，半径为1.5m的球形空间和以密闭卸油口为中心，半径为0.5m的球形空间为1区；</w:t>
            </w:r>
          </w:p>
          <w:p w14:paraId="21A6ABB8">
            <w:pPr>
              <w:spacing w:line="280" w:lineRule="exact"/>
              <w:rPr>
                <w:rFonts w:ascii="宋体" w:hAnsi="宋体"/>
                <w:szCs w:val="21"/>
              </w:rPr>
            </w:pPr>
            <w:r>
              <w:rPr>
                <w:rFonts w:ascii="宋体" w:hAnsi="宋体"/>
                <w:szCs w:val="21"/>
              </w:rPr>
              <w:t>以通气口为中心，半径为3m的球形并沿至地面的空间为2区。</w:t>
            </w:r>
          </w:p>
        </w:tc>
      </w:tr>
      <w:tr w14:paraId="052E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6F4ADF5C">
            <w:pPr>
              <w:spacing w:line="280" w:lineRule="exact"/>
              <w:rPr>
                <w:rFonts w:ascii="宋体" w:hAnsi="宋体"/>
                <w:szCs w:val="21"/>
              </w:rPr>
            </w:pPr>
            <w:r>
              <w:rPr>
                <w:rFonts w:ascii="宋体" w:hAnsi="宋体"/>
                <w:szCs w:val="21"/>
              </w:rPr>
              <w:t>3</w:t>
            </w:r>
          </w:p>
        </w:tc>
        <w:tc>
          <w:tcPr>
            <w:tcW w:w="931" w:type="dxa"/>
            <w:vAlign w:val="center"/>
          </w:tcPr>
          <w:p w14:paraId="1E8A7BC3">
            <w:pPr>
              <w:spacing w:line="280" w:lineRule="exact"/>
              <w:rPr>
                <w:rFonts w:ascii="宋体" w:hAnsi="宋体"/>
                <w:szCs w:val="21"/>
              </w:rPr>
            </w:pPr>
            <w:r>
              <w:rPr>
                <w:rFonts w:hint="eastAsia" w:ascii="宋体" w:hAnsi="宋体"/>
                <w:szCs w:val="21"/>
              </w:rPr>
              <w:t>油罐区</w:t>
            </w:r>
          </w:p>
        </w:tc>
        <w:tc>
          <w:tcPr>
            <w:tcW w:w="6932" w:type="dxa"/>
          </w:tcPr>
          <w:p w14:paraId="2F1E8493">
            <w:pPr>
              <w:spacing w:line="280" w:lineRule="exact"/>
              <w:rPr>
                <w:rFonts w:ascii="宋体" w:hAnsi="宋体"/>
                <w:szCs w:val="21"/>
              </w:rPr>
            </w:pPr>
            <w:r>
              <w:rPr>
                <w:rFonts w:ascii="宋体" w:hAnsi="宋体"/>
                <w:szCs w:val="21"/>
              </w:rPr>
              <w:t>罐内部油品表面以上空间为0区；</w:t>
            </w:r>
          </w:p>
          <w:p w14:paraId="5509E2D4">
            <w:pPr>
              <w:spacing w:line="280" w:lineRule="exact"/>
              <w:rPr>
                <w:rFonts w:ascii="宋体" w:hAnsi="宋体"/>
                <w:szCs w:val="21"/>
              </w:rPr>
            </w:pPr>
            <w:r>
              <w:rPr>
                <w:rFonts w:ascii="宋体" w:hAnsi="宋体"/>
                <w:szCs w:val="21"/>
              </w:rPr>
              <w:t>人孔井内部空间、以通气管口为中心，半径为1.5m的球形空间和以密闭卸油口为中心，半径为0.5m的球形空间为1区；</w:t>
            </w:r>
          </w:p>
          <w:p w14:paraId="7A0D3626">
            <w:pPr>
              <w:spacing w:line="280" w:lineRule="exact"/>
              <w:rPr>
                <w:rFonts w:ascii="宋体" w:hAnsi="宋体"/>
                <w:szCs w:val="21"/>
              </w:rPr>
            </w:pPr>
            <w:r>
              <w:rPr>
                <w:rFonts w:ascii="宋体" w:hAnsi="宋体"/>
                <w:szCs w:val="21"/>
              </w:rPr>
              <w:t>距人孔井外边缘 1.5m以内，自地面算起1.0m高的圆柱形空间、以通气管管口为中心，半径为3m的球形空间和以密闭卸油口为中心，半径为1.5m的球形并沿至地面的空间为2区。</w:t>
            </w:r>
          </w:p>
        </w:tc>
      </w:tr>
      <w:tr w14:paraId="759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05CE9F04">
            <w:pPr>
              <w:spacing w:line="280" w:lineRule="exact"/>
              <w:rPr>
                <w:rFonts w:ascii="宋体" w:hAnsi="宋体"/>
                <w:szCs w:val="21"/>
              </w:rPr>
            </w:pPr>
            <w:r>
              <w:rPr>
                <w:rFonts w:hint="eastAsia" w:ascii="宋体" w:hAnsi="宋体"/>
                <w:szCs w:val="21"/>
              </w:rPr>
              <w:t>4</w:t>
            </w:r>
          </w:p>
        </w:tc>
        <w:tc>
          <w:tcPr>
            <w:tcW w:w="931" w:type="dxa"/>
          </w:tcPr>
          <w:p w14:paraId="2CF6AECE">
            <w:pPr>
              <w:spacing w:line="280" w:lineRule="exact"/>
              <w:rPr>
                <w:rFonts w:ascii="宋体" w:hAnsi="宋体"/>
                <w:szCs w:val="21"/>
              </w:rPr>
            </w:pPr>
            <w:r>
              <w:rPr>
                <w:rFonts w:hint="eastAsia" w:ascii="宋体" w:hAnsi="宋体"/>
                <w:szCs w:val="21"/>
              </w:rPr>
              <w:t>附属区</w:t>
            </w:r>
          </w:p>
        </w:tc>
        <w:tc>
          <w:tcPr>
            <w:tcW w:w="6932" w:type="dxa"/>
          </w:tcPr>
          <w:p w14:paraId="439EEFB7">
            <w:pPr>
              <w:spacing w:line="280" w:lineRule="exact"/>
              <w:rPr>
                <w:rFonts w:ascii="宋体" w:hAnsi="宋体"/>
                <w:szCs w:val="21"/>
              </w:rPr>
            </w:pPr>
            <w:r>
              <w:rPr>
                <w:rFonts w:hint="eastAsia" w:ascii="宋体" w:hAnsi="宋体"/>
                <w:szCs w:val="21"/>
              </w:rPr>
              <w:t>为2区。</w:t>
            </w:r>
          </w:p>
        </w:tc>
      </w:tr>
      <w:tr w14:paraId="0B4C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289" w:type="dxa"/>
            <w:gridSpan w:val="3"/>
            <w:vAlign w:val="center"/>
          </w:tcPr>
          <w:p w14:paraId="39616218">
            <w:pPr>
              <w:spacing w:line="240" w:lineRule="exact"/>
              <w:rPr>
                <w:rFonts w:ascii="宋体" w:hAnsi="宋体"/>
                <w:szCs w:val="21"/>
              </w:rPr>
            </w:pPr>
            <w:r>
              <w:rPr>
                <w:rFonts w:hint="eastAsia" w:ascii="宋体" w:hAnsi="宋体"/>
                <w:szCs w:val="21"/>
              </w:rPr>
              <w:t>备注：</w:t>
            </w:r>
            <w:r>
              <w:rPr>
                <w:rFonts w:ascii="宋体" w:hAnsi="宋体"/>
                <w:szCs w:val="21"/>
              </w:rPr>
              <w:t>0区：连续出现或长期出现爆炸性气体混合物的环境；</w:t>
            </w:r>
          </w:p>
          <w:p w14:paraId="46A76CA4">
            <w:pPr>
              <w:spacing w:line="240" w:lineRule="exact"/>
              <w:ind w:firstLine="630" w:firstLineChars="300"/>
              <w:rPr>
                <w:rFonts w:ascii="宋体" w:hAnsi="宋体"/>
                <w:szCs w:val="21"/>
              </w:rPr>
            </w:pPr>
            <w:r>
              <w:rPr>
                <w:rFonts w:ascii="宋体" w:hAnsi="宋体"/>
                <w:szCs w:val="21"/>
              </w:rPr>
              <w:t>1区：在正常运行时可能出现爆炸性气体混合物的环境；</w:t>
            </w:r>
          </w:p>
          <w:p w14:paraId="353DC0D2">
            <w:pPr>
              <w:spacing w:line="280" w:lineRule="exact"/>
              <w:ind w:firstLine="630" w:firstLineChars="300"/>
              <w:rPr>
                <w:rFonts w:ascii="宋体" w:hAnsi="宋体"/>
                <w:szCs w:val="21"/>
              </w:rPr>
            </w:pPr>
            <w:r>
              <w:rPr>
                <w:rFonts w:ascii="宋体" w:hAnsi="宋体"/>
                <w:szCs w:val="21"/>
              </w:rPr>
              <w:t>2区：在正常运行时不可能出现爆炸性气体混合物的环境，或即使出现也仅是短时存在的爆炸性气体混合物的环境</w:t>
            </w:r>
            <w:r>
              <w:rPr>
                <w:rFonts w:hint="eastAsia" w:ascii="宋体" w:hAnsi="宋体"/>
                <w:szCs w:val="21"/>
              </w:rPr>
              <w:t>。</w:t>
            </w:r>
          </w:p>
        </w:tc>
      </w:tr>
    </w:tbl>
    <w:p w14:paraId="24CA5CF4">
      <w:pPr>
        <w:adjustRightInd w:val="0"/>
        <w:snapToGrid w:val="0"/>
        <w:spacing w:line="500" w:lineRule="exact"/>
        <w:ind w:firstLine="560" w:firstLineChars="200"/>
        <w:rPr>
          <w:rFonts w:ascii="宋体" w:hAnsi="宋体"/>
          <w:sz w:val="28"/>
          <w:szCs w:val="28"/>
        </w:rPr>
      </w:pPr>
      <w:r>
        <w:rPr>
          <w:rFonts w:hint="eastAsia" w:ascii="宋体" w:hAnsi="宋体"/>
          <w:sz w:val="28"/>
          <w:szCs w:val="28"/>
        </w:rPr>
        <w:t>2.触电伤害</w:t>
      </w:r>
    </w:p>
    <w:p w14:paraId="698AEBE7">
      <w:pPr>
        <w:pStyle w:val="11"/>
        <w:spacing w:line="500" w:lineRule="exact"/>
        <w:ind w:firstLine="400"/>
        <w:rPr>
          <w:rFonts w:ascii="宋体" w:hAnsi="宋体"/>
          <w:sz w:val="28"/>
        </w:rPr>
      </w:pPr>
      <w:r>
        <w:rPr>
          <w:rFonts w:ascii="宋体" w:hAnsi="宋体"/>
          <w:sz w:val="18"/>
        </w:rPr>
        <w:t>  </w:t>
      </w:r>
      <w:r>
        <w:rPr>
          <w:rFonts w:hint="eastAsia" w:ascii="宋体" w:hAnsi="宋体"/>
          <w:sz w:val="28"/>
        </w:rPr>
        <w:t>触电或雷击是由于人体受到一定量的电流通过致使组织损伤和功能障碍甚至死亡。触电时间越长，人体所受的电损伤越严重。自然界的雷击也是一种触电形式，其电压可高达几千万伏特，造成极强的电流电击，危害极大。低电压电流可使心跳停止，继之呼吸停止。高压电流由于对中枢神经系统强力刺激，先使呼吸停止，再随之心跳停止。雷击是极强的静电电击。高电压可使局部组织温度高在</w:t>
      </w:r>
      <w:r>
        <w:rPr>
          <w:rFonts w:ascii="宋体" w:hAnsi="宋体"/>
          <w:sz w:val="28"/>
        </w:rPr>
        <w:t>2000</w:t>
      </w:r>
      <w:r>
        <w:rPr>
          <w:rFonts w:hint="eastAsia" w:ascii="宋体" w:hAnsi="宋体"/>
          <w:sz w:val="28"/>
        </w:rPr>
        <w:t>－</w:t>
      </w:r>
      <w:r>
        <w:rPr>
          <w:rFonts w:ascii="宋体" w:hAnsi="宋体"/>
          <w:sz w:val="28"/>
        </w:rPr>
        <w:t>4000</w:t>
      </w:r>
      <w:r>
        <w:rPr>
          <w:rFonts w:hint="eastAsia" w:ascii="宋体" w:hAnsi="宋体"/>
          <w:sz w:val="28"/>
        </w:rPr>
        <w:t>度。闪电为一种静电放电，在闪电一瞬间的温度很高，可迅速引起组织损伤和“炭化”，使得电击部位皮肤的电灼伤、焦化或炭化，并有组织坏死。</w:t>
      </w:r>
    </w:p>
    <w:p w14:paraId="46C9BD8E">
      <w:pPr>
        <w:spacing w:line="500" w:lineRule="exact"/>
        <w:ind w:firstLine="560" w:firstLineChars="200"/>
        <w:rPr>
          <w:rFonts w:ascii="宋体" w:hAnsi="宋体"/>
          <w:sz w:val="28"/>
          <w:szCs w:val="28"/>
        </w:rPr>
      </w:pPr>
      <w:r>
        <w:rPr>
          <w:rFonts w:hint="eastAsia" w:ascii="宋体" w:hAnsi="宋体"/>
          <w:sz w:val="28"/>
        </w:rPr>
        <w:t>如果电气设备的日常管理、维护不当，致使输电线路坠落到地面上或输电线路外套脱落，就会使人员触电的几率大大增加，从而引发触电事故。作业人员缺乏用电常识、违章操作也是发生触电事故的一个主要原因。</w:t>
      </w:r>
      <w:r>
        <w:rPr>
          <w:rFonts w:ascii="宋体" w:hAnsi="宋体"/>
          <w:sz w:val="28"/>
          <w:szCs w:val="28"/>
        </w:rPr>
        <w:t>该加油站经营过程中可能造成触电事故的原因有：</w:t>
      </w:r>
    </w:p>
    <w:p w14:paraId="6F39A900">
      <w:pPr>
        <w:spacing w:line="500" w:lineRule="exact"/>
        <w:ind w:firstLine="560" w:firstLineChars="200"/>
        <w:rPr>
          <w:rFonts w:ascii="宋体" w:hAnsi="宋体"/>
          <w:sz w:val="28"/>
        </w:rPr>
      </w:pPr>
      <w:r>
        <w:rPr>
          <w:rFonts w:hint="eastAsia" w:ascii="宋体" w:hAnsi="宋体"/>
          <w:sz w:val="28"/>
        </w:rPr>
        <w:t>1）</w:t>
      </w:r>
      <w:r>
        <w:rPr>
          <w:rFonts w:ascii="宋体" w:hAnsi="宋体"/>
          <w:sz w:val="28"/>
        </w:rPr>
        <w:t>电气设备的日常管理、维护不当，线路、设备老化，造成漏电易引发触电事故；</w:t>
      </w:r>
    </w:p>
    <w:p w14:paraId="2FD06175">
      <w:pPr>
        <w:spacing w:line="500" w:lineRule="exact"/>
        <w:ind w:firstLine="560" w:firstLineChars="200"/>
        <w:rPr>
          <w:rFonts w:ascii="宋体" w:hAnsi="宋体"/>
          <w:sz w:val="28"/>
        </w:rPr>
      </w:pPr>
      <w:r>
        <w:rPr>
          <w:rFonts w:hint="eastAsia" w:ascii="宋体" w:hAnsi="宋体"/>
          <w:sz w:val="28"/>
        </w:rPr>
        <w:t>2）</w:t>
      </w:r>
      <w:r>
        <w:rPr>
          <w:rFonts w:ascii="宋体" w:hAnsi="宋体"/>
          <w:sz w:val="28"/>
        </w:rPr>
        <w:t>作业人员缺乏用电常识；</w:t>
      </w:r>
    </w:p>
    <w:p w14:paraId="6B7B6800">
      <w:pPr>
        <w:spacing w:line="500" w:lineRule="exact"/>
        <w:ind w:firstLine="560" w:firstLineChars="200"/>
        <w:rPr>
          <w:rFonts w:ascii="宋体" w:hAnsi="宋体"/>
          <w:sz w:val="28"/>
        </w:rPr>
      </w:pPr>
      <w:r>
        <w:rPr>
          <w:rFonts w:hint="eastAsia" w:ascii="宋体" w:hAnsi="宋体"/>
          <w:sz w:val="28"/>
        </w:rPr>
        <w:t>3）</w:t>
      </w:r>
      <w:r>
        <w:rPr>
          <w:rFonts w:ascii="宋体" w:hAnsi="宋体"/>
          <w:sz w:val="28"/>
        </w:rPr>
        <w:t>条件不允许而带电作业；</w:t>
      </w:r>
    </w:p>
    <w:p w14:paraId="12004FB5">
      <w:pPr>
        <w:spacing w:line="500" w:lineRule="exact"/>
        <w:ind w:firstLine="560" w:firstLineChars="200"/>
        <w:rPr>
          <w:rFonts w:ascii="宋体" w:hAnsi="宋体"/>
          <w:sz w:val="28"/>
        </w:rPr>
      </w:pPr>
      <w:r>
        <w:rPr>
          <w:rFonts w:hint="eastAsia" w:ascii="宋体" w:hAnsi="宋体"/>
          <w:sz w:val="28"/>
        </w:rPr>
        <w:t>4）</w:t>
      </w:r>
      <w:r>
        <w:rPr>
          <w:rFonts w:ascii="宋体" w:hAnsi="宋体"/>
          <w:sz w:val="28"/>
        </w:rPr>
        <w:t>绝缘劳保或绝缘工具老化导致绝缘效果下降；</w:t>
      </w:r>
    </w:p>
    <w:p w14:paraId="2AF1D309">
      <w:pPr>
        <w:spacing w:line="500" w:lineRule="exact"/>
        <w:ind w:firstLine="560" w:firstLineChars="200"/>
        <w:rPr>
          <w:rFonts w:ascii="宋体" w:hAnsi="宋体"/>
          <w:sz w:val="28"/>
        </w:rPr>
      </w:pPr>
      <w:r>
        <w:rPr>
          <w:rFonts w:hint="eastAsia" w:ascii="宋体" w:hAnsi="宋体"/>
          <w:sz w:val="28"/>
        </w:rPr>
        <w:t>5）</w:t>
      </w:r>
      <w:r>
        <w:rPr>
          <w:rFonts w:ascii="宋体" w:hAnsi="宋体"/>
          <w:sz w:val="28"/>
        </w:rPr>
        <w:t>施工中误合电闸送电；</w:t>
      </w:r>
    </w:p>
    <w:p w14:paraId="3D11BB0B">
      <w:pPr>
        <w:spacing w:line="500" w:lineRule="exact"/>
        <w:ind w:firstLine="560" w:firstLineChars="200"/>
        <w:rPr>
          <w:rFonts w:ascii="宋体" w:hAnsi="宋体"/>
          <w:sz w:val="28"/>
        </w:rPr>
      </w:pPr>
      <w:r>
        <w:rPr>
          <w:rFonts w:hint="eastAsia" w:ascii="宋体" w:hAnsi="宋体"/>
          <w:sz w:val="28"/>
        </w:rPr>
        <w:t>6）</w:t>
      </w:r>
      <w:r>
        <w:rPr>
          <w:rFonts w:ascii="宋体" w:hAnsi="宋体"/>
          <w:sz w:val="28"/>
        </w:rPr>
        <w:t>超标使用保险丝、空气开关等；</w:t>
      </w:r>
    </w:p>
    <w:p w14:paraId="388CBCE3">
      <w:pPr>
        <w:spacing w:line="500" w:lineRule="exact"/>
        <w:ind w:firstLine="560" w:firstLineChars="200"/>
        <w:rPr>
          <w:rFonts w:ascii="宋体" w:hAnsi="宋体"/>
          <w:sz w:val="28"/>
        </w:rPr>
      </w:pPr>
      <w:r>
        <w:rPr>
          <w:rFonts w:hint="eastAsia" w:ascii="宋体" w:hAnsi="宋体"/>
          <w:sz w:val="28"/>
        </w:rPr>
        <w:t>7）</w:t>
      </w:r>
      <w:r>
        <w:rPr>
          <w:rFonts w:ascii="宋体" w:hAnsi="宋体"/>
          <w:sz w:val="28"/>
        </w:rPr>
        <w:t>设备无接地接零或失效；</w:t>
      </w:r>
    </w:p>
    <w:p w14:paraId="607D5454">
      <w:pPr>
        <w:spacing w:line="500" w:lineRule="exact"/>
        <w:ind w:firstLine="560" w:firstLineChars="200"/>
        <w:rPr>
          <w:rFonts w:ascii="宋体" w:hAnsi="宋体"/>
          <w:sz w:val="28"/>
        </w:rPr>
      </w:pPr>
      <w:r>
        <w:rPr>
          <w:rFonts w:hint="eastAsia" w:ascii="宋体" w:hAnsi="宋体"/>
          <w:sz w:val="28"/>
        </w:rPr>
        <w:t>8）</w:t>
      </w:r>
      <w:r>
        <w:rPr>
          <w:rFonts w:ascii="宋体" w:hAnsi="宋体"/>
          <w:sz w:val="28"/>
        </w:rPr>
        <w:t>无电工证人员违章进行电工作业；</w:t>
      </w:r>
    </w:p>
    <w:p w14:paraId="54589424">
      <w:pPr>
        <w:spacing w:line="500" w:lineRule="exact"/>
        <w:ind w:firstLine="560" w:firstLineChars="200"/>
        <w:rPr>
          <w:rFonts w:ascii="宋体" w:hAnsi="宋体"/>
          <w:sz w:val="28"/>
        </w:rPr>
      </w:pPr>
      <w:r>
        <w:rPr>
          <w:rFonts w:hint="eastAsia" w:ascii="宋体" w:hAnsi="宋体"/>
          <w:sz w:val="28"/>
        </w:rPr>
        <w:t>9）</w:t>
      </w:r>
      <w:r>
        <w:rPr>
          <w:rFonts w:ascii="宋体" w:hAnsi="宋体"/>
          <w:sz w:val="28"/>
        </w:rPr>
        <w:t>电器开关损坏、漏电</w:t>
      </w:r>
      <w:r>
        <w:rPr>
          <w:rFonts w:hint="eastAsia" w:ascii="宋体" w:hAnsi="宋体"/>
          <w:sz w:val="28"/>
        </w:rPr>
        <w:t>。</w:t>
      </w:r>
    </w:p>
    <w:p w14:paraId="33499FFE">
      <w:pPr>
        <w:adjustRightInd w:val="0"/>
        <w:snapToGrid w:val="0"/>
        <w:spacing w:line="500" w:lineRule="exact"/>
        <w:ind w:firstLine="560" w:firstLineChars="200"/>
        <w:rPr>
          <w:rFonts w:ascii="宋体" w:hAnsi="宋体"/>
          <w:sz w:val="28"/>
          <w:szCs w:val="28"/>
        </w:rPr>
      </w:pPr>
      <w:bookmarkStart w:id="256" w:name="_Toc489629054"/>
      <w:r>
        <w:rPr>
          <w:rFonts w:hint="eastAsia" w:ascii="宋体" w:hAnsi="宋体"/>
          <w:sz w:val="28"/>
          <w:szCs w:val="28"/>
        </w:rPr>
        <w:t>3.机械伤害</w:t>
      </w:r>
      <w:bookmarkEnd w:id="256"/>
    </w:p>
    <w:p w14:paraId="3DDBEBF4">
      <w:pPr>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该加油站经营过程中，</w:t>
      </w:r>
      <w:r>
        <w:rPr>
          <w:rFonts w:ascii="宋体" w:hAnsi="宋体"/>
          <w:snapToGrid w:val="0"/>
          <w:kern w:val="0"/>
          <w:sz w:val="28"/>
          <w:szCs w:val="28"/>
        </w:rPr>
        <w:t>可能</w:t>
      </w:r>
      <w:r>
        <w:rPr>
          <w:rFonts w:hint="eastAsia" w:ascii="宋体" w:hAnsi="宋体"/>
          <w:snapToGrid w:val="0"/>
          <w:kern w:val="0"/>
          <w:sz w:val="28"/>
          <w:szCs w:val="28"/>
        </w:rPr>
        <w:t>因为</w:t>
      </w:r>
      <w:r>
        <w:rPr>
          <w:rFonts w:ascii="宋体" w:hAnsi="宋体"/>
          <w:snapToGrid w:val="0"/>
          <w:kern w:val="0"/>
          <w:sz w:val="28"/>
          <w:szCs w:val="28"/>
        </w:rPr>
        <w:t>人体接触机械设备</w:t>
      </w:r>
      <w:r>
        <w:rPr>
          <w:rFonts w:hint="eastAsia" w:ascii="宋体" w:hAnsi="宋体"/>
          <w:snapToGrid w:val="0"/>
          <w:kern w:val="0"/>
          <w:sz w:val="28"/>
          <w:szCs w:val="28"/>
        </w:rPr>
        <w:t>的</w:t>
      </w:r>
      <w:r>
        <w:rPr>
          <w:rFonts w:ascii="宋体" w:hAnsi="宋体"/>
          <w:snapToGrid w:val="0"/>
          <w:kern w:val="0"/>
          <w:sz w:val="28"/>
          <w:szCs w:val="28"/>
        </w:rPr>
        <w:t>传动部件均引起</w:t>
      </w:r>
      <w:r>
        <w:rPr>
          <w:rFonts w:hint="eastAsia" w:ascii="宋体" w:hAnsi="宋体"/>
          <w:snapToGrid w:val="0"/>
          <w:kern w:val="0"/>
          <w:sz w:val="28"/>
          <w:szCs w:val="28"/>
        </w:rPr>
        <w:t>机械</w:t>
      </w:r>
      <w:r>
        <w:rPr>
          <w:rFonts w:ascii="宋体" w:hAnsi="宋体"/>
          <w:snapToGrid w:val="0"/>
          <w:kern w:val="0"/>
          <w:sz w:val="28"/>
          <w:szCs w:val="28"/>
        </w:rPr>
        <w:t>伤害</w:t>
      </w:r>
      <w:r>
        <w:rPr>
          <w:rFonts w:hint="eastAsia" w:ascii="宋体" w:hAnsi="宋体"/>
          <w:snapToGrid w:val="0"/>
          <w:kern w:val="0"/>
          <w:sz w:val="28"/>
          <w:szCs w:val="28"/>
        </w:rPr>
        <w:t>；</w:t>
      </w:r>
      <w:r>
        <w:rPr>
          <w:rFonts w:ascii="宋体" w:hAnsi="宋体"/>
          <w:snapToGrid w:val="0"/>
          <w:kern w:val="0"/>
          <w:sz w:val="28"/>
          <w:szCs w:val="28"/>
        </w:rPr>
        <w:t>导致机械伤害事故的主要因素有：</w:t>
      </w:r>
    </w:p>
    <w:p w14:paraId="46145ECB">
      <w:pPr>
        <w:adjustRightInd w:val="0"/>
        <w:snapToGrid w:val="0"/>
        <w:spacing w:line="500" w:lineRule="exact"/>
        <w:ind w:firstLine="560" w:firstLineChars="200"/>
        <w:rPr>
          <w:rFonts w:ascii="宋体" w:hAnsi="宋体"/>
          <w:sz w:val="28"/>
          <w:szCs w:val="28"/>
        </w:rPr>
      </w:pPr>
      <w:bookmarkStart w:id="257" w:name="_Toc420403902"/>
      <w:bookmarkStart w:id="258" w:name="_Toc433992384"/>
      <w:bookmarkStart w:id="259" w:name="_Toc424306034"/>
      <w:bookmarkStart w:id="260" w:name="_Toc438040937"/>
      <w:bookmarkStart w:id="261" w:name="_Toc424306285"/>
      <w:r>
        <w:rPr>
          <w:rFonts w:ascii="宋体" w:hAnsi="宋体"/>
          <w:sz w:val="28"/>
          <w:szCs w:val="28"/>
        </w:rPr>
        <w:t>1</w:t>
      </w:r>
      <w:r>
        <w:rPr>
          <w:rFonts w:hint="eastAsia" w:ascii="宋体" w:hAnsi="宋体"/>
          <w:sz w:val="28"/>
        </w:rPr>
        <w:t>）</w:t>
      </w:r>
      <w:r>
        <w:rPr>
          <w:rFonts w:ascii="宋体" w:hAnsi="宋体"/>
          <w:sz w:val="28"/>
          <w:szCs w:val="28"/>
        </w:rPr>
        <w:t>违章作业或操作不当；</w:t>
      </w:r>
      <w:bookmarkEnd w:id="257"/>
      <w:bookmarkEnd w:id="258"/>
      <w:bookmarkEnd w:id="259"/>
      <w:bookmarkEnd w:id="260"/>
      <w:bookmarkEnd w:id="261"/>
    </w:p>
    <w:p w14:paraId="1EF63E06">
      <w:pPr>
        <w:adjustRightInd w:val="0"/>
        <w:snapToGrid w:val="0"/>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rPr>
        <w:t>）</w:t>
      </w:r>
      <w:r>
        <w:rPr>
          <w:rFonts w:ascii="宋体" w:hAnsi="宋体"/>
          <w:sz w:val="28"/>
          <w:szCs w:val="28"/>
        </w:rPr>
        <w:t>机械设备安全防护装置缺乏或损坏、或被拆除等；</w:t>
      </w:r>
    </w:p>
    <w:p w14:paraId="31567B11">
      <w:pPr>
        <w:adjustRightInd w:val="0"/>
        <w:snapToGrid w:val="0"/>
        <w:spacing w:line="500" w:lineRule="exact"/>
        <w:ind w:firstLine="560" w:firstLineChars="200"/>
        <w:rPr>
          <w:rFonts w:ascii="宋体" w:hAnsi="宋体"/>
          <w:sz w:val="28"/>
          <w:szCs w:val="28"/>
        </w:rPr>
      </w:pPr>
      <w:r>
        <w:rPr>
          <w:rFonts w:ascii="宋体" w:hAnsi="宋体"/>
          <w:sz w:val="28"/>
          <w:szCs w:val="28"/>
        </w:rPr>
        <w:t>3</w:t>
      </w:r>
      <w:r>
        <w:rPr>
          <w:rFonts w:hint="eastAsia" w:ascii="宋体" w:hAnsi="宋体"/>
          <w:sz w:val="28"/>
        </w:rPr>
        <w:t>）</w:t>
      </w:r>
      <w:r>
        <w:rPr>
          <w:rFonts w:ascii="宋体" w:hAnsi="宋体"/>
          <w:sz w:val="28"/>
          <w:szCs w:val="28"/>
        </w:rPr>
        <w:t>操作人员疏忽大意，身体误入机械危险部位；</w:t>
      </w:r>
    </w:p>
    <w:p w14:paraId="2227A173">
      <w:pPr>
        <w:adjustRightInd w:val="0"/>
        <w:snapToGrid w:val="0"/>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rPr>
        <w:t>）</w:t>
      </w:r>
      <w:r>
        <w:rPr>
          <w:rFonts w:ascii="宋体" w:hAnsi="宋体"/>
          <w:sz w:val="28"/>
          <w:szCs w:val="28"/>
        </w:rPr>
        <w:t>不停机检修设备；</w:t>
      </w:r>
    </w:p>
    <w:p w14:paraId="493A9861">
      <w:pPr>
        <w:adjustRightInd w:val="0"/>
        <w:snapToGrid w:val="0"/>
        <w:spacing w:line="500" w:lineRule="exact"/>
        <w:ind w:firstLine="560" w:firstLineChars="200"/>
        <w:rPr>
          <w:rFonts w:ascii="宋体" w:hAnsi="宋体"/>
          <w:sz w:val="28"/>
          <w:szCs w:val="28"/>
        </w:rPr>
      </w:pPr>
      <w:r>
        <w:rPr>
          <w:rFonts w:ascii="宋体" w:hAnsi="宋体"/>
          <w:sz w:val="28"/>
          <w:szCs w:val="28"/>
        </w:rPr>
        <w:t>5</w:t>
      </w:r>
      <w:r>
        <w:rPr>
          <w:rFonts w:hint="eastAsia" w:ascii="宋体" w:hAnsi="宋体"/>
          <w:sz w:val="28"/>
        </w:rPr>
        <w:t>）</w:t>
      </w:r>
      <w:r>
        <w:rPr>
          <w:rFonts w:ascii="宋体" w:hAnsi="宋体"/>
          <w:sz w:val="28"/>
          <w:szCs w:val="28"/>
        </w:rPr>
        <w:t>在不安全的机械上停留、休息</w:t>
      </w:r>
      <w:r>
        <w:rPr>
          <w:rFonts w:hint="eastAsia" w:ascii="宋体" w:hAnsi="宋体"/>
          <w:sz w:val="28"/>
          <w:szCs w:val="28"/>
        </w:rPr>
        <w:t>。</w:t>
      </w:r>
    </w:p>
    <w:p w14:paraId="5625F614">
      <w:pPr>
        <w:adjustRightInd w:val="0"/>
        <w:snapToGrid w:val="0"/>
        <w:spacing w:line="500" w:lineRule="exact"/>
        <w:ind w:firstLine="560" w:firstLineChars="200"/>
        <w:rPr>
          <w:rFonts w:ascii="宋体" w:hAnsi="宋体"/>
          <w:sz w:val="28"/>
          <w:szCs w:val="28"/>
        </w:rPr>
      </w:pPr>
      <w:bookmarkStart w:id="262" w:name="_Toc489629055"/>
      <w:r>
        <w:rPr>
          <w:rFonts w:hint="eastAsia" w:ascii="宋体" w:hAnsi="宋体"/>
          <w:sz w:val="28"/>
          <w:szCs w:val="28"/>
        </w:rPr>
        <w:t>4.中毒和窒息</w:t>
      </w:r>
      <w:bookmarkEnd w:id="262"/>
    </w:p>
    <w:p w14:paraId="068D0BBD">
      <w:pPr>
        <w:pStyle w:val="11"/>
        <w:spacing w:line="500" w:lineRule="exact"/>
        <w:ind w:firstLine="600"/>
        <w:rPr>
          <w:rFonts w:ascii="宋体" w:hAnsi="宋体"/>
          <w:sz w:val="28"/>
        </w:rPr>
      </w:pPr>
      <w:r>
        <w:rPr>
          <w:rFonts w:ascii="宋体" w:hAnsi="宋体"/>
          <w:sz w:val="28"/>
          <w:szCs w:val="28"/>
        </w:rPr>
        <w:t>油品及其蒸气都具有一定的毒性，一般属于刺激性、麻醉性的低毒物质。</w:t>
      </w:r>
      <w:r>
        <w:rPr>
          <w:rFonts w:hint="eastAsia" w:ascii="宋体" w:hAnsi="宋体"/>
          <w:sz w:val="28"/>
          <w:szCs w:val="28"/>
        </w:rPr>
        <w:t>该加油站</w:t>
      </w:r>
      <w:r>
        <w:rPr>
          <w:rFonts w:ascii="宋体" w:hAnsi="宋体"/>
          <w:sz w:val="28"/>
          <w:szCs w:val="28"/>
        </w:rPr>
        <w:t>作业中人体防护不可能全封闭，不可避免地接触到油品，吸入油蒸气，造成中毒和窒息。工作人员进入罐内进行检修、清理，若氧含量降到13％</w:t>
      </w:r>
      <w:r>
        <w:rPr>
          <w:rFonts w:hint="eastAsia" w:ascii="宋体" w:hAnsi="宋体"/>
          <w:sz w:val="28"/>
          <w:szCs w:val="28"/>
        </w:rPr>
        <w:t>~</w:t>
      </w:r>
      <w:r>
        <w:rPr>
          <w:rFonts w:ascii="宋体" w:hAnsi="宋体"/>
          <w:sz w:val="28"/>
          <w:szCs w:val="28"/>
        </w:rPr>
        <w:t>16％，人会晕倒；降到13％以下，会死亡。在罐内作业，由于空气中氧含量会慢慢减少，往往内部作业人员会不知不觉地晕厥、窒息。</w:t>
      </w:r>
    </w:p>
    <w:p w14:paraId="30D3C446">
      <w:pPr>
        <w:pStyle w:val="11"/>
        <w:spacing w:line="500" w:lineRule="exact"/>
        <w:ind w:firstLine="600"/>
        <w:rPr>
          <w:rFonts w:ascii="宋体" w:hAnsi="宋体"/>
          <w:sz w:val="28"/>
        </w:rPr>
      </w:pPr>
      <w:r>
        <w:rPr>
          <w:rFonts w:hint="eastAsia" w:ascii="宋体" w:hAnsi="宋体"/>
          <w:sz w:val="28"/>
        </w:rPr>
        <w:t>主要存在于加油作业、卸油作业、油灌区及油罐检修作业。</w:t>
      </w:r>
    </w:p>
    <w:p w14:paraId="16BD0A07">
      <w:pPr>
        <w:adjustRightInd w:val="0"/>
        <w:snapToGrid w:val="0"/>
        <w:spacing w:line="500" w:lineRule="exact"/>
        <w:ind w:firstLine="560" w:firstLineChars="200"/>
        <w:rPr>
          <w:rFonts w:ascii="宋体" w:hAnsi="宋体"/>
          <w:sz w:val="28"/>
          <w:szCs w:val="28"/>
        </w:rPr>
      </w:pPr>
      <w:bookmarkStart w:id="263" w:name="_Toc489629056"/>
      <w:r>
        <w:rPr>
          <w:rFonts w:hint="eastAsia" w:ascii="宋体" w:hAnsi="宋体"/>
          <w:sz w:val="28"/>
          <w:szCs w:val="28"/>
        </w:rPr>
        <w:t>5.车辆伤害</w:t>
      </w:r>
      <w:bookmarkEnd w:id="263"/>
    </w:p>
    <w:p w14:paraId="50995E6D">
      <w:pPr>
        <w:pStyle w:val="11"/>
        <w:spacing w:line="500" w:lineRule="exact"/>
        <w:ind w:firstLine="600"/>
        <w:rPr>
          <w:rFonts w:ascii="宋体" w:hAnsi="宋体"/>
          <w:sz w:val="28"/>
          <w:szCs w:val="28"/>
        </w:rPr>
      </w:pPr>
      <w:r>
        <w:rPr>
          <w:rFonts w:hint="eastAsia" w:ascii="宋体" w:hAnsi="宋体"/>
          <w:sz w:val="28"/>
          <w:szCs w:val="28"/>
        </w:rPr>
        <w:t>该加油站在经营过程中，有加油车辆、油罐车等车辆进出，可能存在以下因素导致车辆伤害：</w:t>
      </w:r>
    </w:p>
    <w:p w14:paraId="58D56F7D">
      <w:pPr>
        <w:adjustRightInd w:val="0"/>
        <w:snapToGrid w:val="0"/>
        <w:spacing w:line="500" w:lineRule="exact"/>
        <w:ind w:firstLine="560" w:firstLineChars="200"/>
        <w:rPr>
          <w:rFonts w:ascii="宋体" w:hAnsi="宋体"/>
          <w:sz w:val="28"/>
          <w:szCs w:val="28"/>
        </w:rPr>
      </w:pPr>
      <w:bookmarkStart w:id="264" w:name="_Toc424306035"/>
      <w:bookmarkStart w:id="265" w:name="_Toc424306286"/>
      <w:bookmarkStart w:id="266" w:name="_Toc420403903"/>
      <w:bookmarkStart w:id="267" w:name="_Toc438040938"/>
      <w:bookmarkStart w:id="268" w:name="_Toc433992385"/>
      <w:r>
        <w:rPr>
          <w:rFonts w:hint="eastAsia" w:ascii="宋体" w:hAnsi="宋体"/>
          <w:sz w:val="28"/>
          <w:szCs w:val="28"/>
        </w:rPr>
        <w:t>1</w:t>
      </w:r>
      <w:r>
        <w:rPr>
          <w:rFonts w:hint="eastAsia" w:ascii="宋体" w:hAnsi="宋体"/>
          <w:sz w:val="28"/>
        </w:rPr>
        <w:t>）</w:t>
      </w:r>
      <w:r>
        <w:rPr>
          <w:rFonts w:hint="eastAsia" w:ascii="宋体" w:hAnsi="宋体"/>
          <w:sz w:val="28"/>
          <w:szCs w:val="28"/>
        </w:rPr>
        <w:t>进入加油站的加油车辆、油罐车等车辆违章行驶；</w:t>
      </w:r>
      <w:bookmarkEnd w:id="264"/>
      <w:bookmarkEnd w:id="265"/>
      <w:bookmarkEnd w:id="266"/>
      <w:bookmarkEnd w:id="267"/>
      <w:bookmarkEnd w:id="268"/>
    </w:p>
    <w:p w14:paraId="20950580">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由于进出车辆对加油区及卸油区情况不熟悉和管理不善；</w:t>
      </w:r>
    </w:p>
    <w:p w14:paraId="6D941BF4">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加油站出入口路况不好、无安全警示标识；</w:t>
      </w:r>
    </w:p>
    <w:p w14:paraId="20ACEB82">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hint="eastAsia" w:ascii="宋体" w:hAnsi="宋体"/>
          <w:sz w:val="28"/>
        </w:rPr>
        <w:t>）</w:t>
      </w:r>
      <w:r>
        <w:rPr>
          <w:rFonts w:hint="eastAsia" w:ascii="宋体" w:hAnsi="宋体"/>
          <w:sz w:val="28"/>
          <w:szCs w:val="28"/>
        </w:rPr>
        <w:t>闲杂人员随意进入加油站等。</w:t>
      </w:r>
    </w:p>
    <w:p w14:paraId="4BF48BAA">
      <w:pPr>
        <w:pStyle w:val="11"/>
        <w:spacing w:line="500" w:lineRule="exact"/>
        <w:ind w:firstLine="560"/>
        <w:rPr>
          <w:rFonts w:ascii="宋体" w:hAnsi="宋体"/>
          <w:sz w:val="28"/>
          <w:szCs w:val="28"/>
        </w:rPr>
      </w:pPr>
      <w:r>
        <w:rPr>
          <w:rFonts w:hint="eastAsia" w:ascii="宋体" w:hAnsi="宋体"/>
          <w:spacing w:val="0"/>
          <w:sz w:val="28"/>
          <w:szCs w:val="28"/>
        </w:rPr>
        <w:t>该加油站的加油区、卸油区、车辆出入口等处均可能会发生</w:t>
      </w:r>
      <w:r>
        <w:rPr>
          <w:rFonts w:hint="eastAsia" w:ascii="宋体" w:hAnsi="宋体"/>
          <w:sz w:val="28"/>
          <w:szCs w:val="28"/>
        </w:rPr>
        <w:t>车辆伤害危险。</w:t>
      </w:r>
    </w:p>
    <w:p w14:paraId="15922CA0">
      <w:pPr>
        <w:adjustRightInd w:val="0"/>
        <w:snapToGrid w:val="0"/>
        <w:spacing w:line="500" w:lineRule="exact"/>
        <w:ind w:firstLine="560" w:firstLineChars="200"/>
        <w:rPr>
          <w:rFonts w:ascii="宋体" w:hAnsi="宋体"/>
          <w:sz w:val="28"/>
          <w:szCs w:val="28"/>
        </w:rPr>
      </w:pPr>
      <w:bookmarkStart w:id="269" w:name="_Toc424306287"/>
      <w:bookmarkStart w:id="270" w:name="_Toc420403904"/>
      <w:bookmarkStart w:id="271" w:name="_Toc424306036"/>
      <w:bookmarkStart w:id="272" w:name="_Toc433992386"/>
      <w:bookmarkStart w:id="273" w:name="_Toc438040939"/>
      <w:r>
        <w:rPr>
          <w:rFonts w:hint="eastAsia" w:ascii="宋体" w:hAnsi="宋体"/>
          <w:sz w:val="28"/>
          <w:szCs w:val="28"/>
        </w:rPr>
        <w:t>6.高处坠落</w:t>
      </w:r>
      <w:bookmarkEnd w:id="269"/>
      <w:bookmarkEnd w:id="270"/>
      <w:bookmarkEnd w:id="271"/>
      <w:bookmarkEnd w:id="272"/>
      <w:bookmarkEnd w:id="273"/>
    </w:p>
    <w:p w14:paraId="7766BC46">
      <w:pPr>
        <w:pStyle w:val="11"/>
        <w:spacing w:line="500" w:lineRule="exact"/>
        <w:ind w:firstLine="600"/>
        <w:rPr>
          <w:rFonts w:ascii="宋体" w:hAnsi="宋体"/>
          <w:sz w:val="28"/>
          <w:szCs w:val="28"/>
        </w:rPr>
      </w:pPr>
      <w:r>
        <w:rPr>
          <w:rFonts w:ascii="宋体" w:hAnsi="宋体"/>
          <w:sz w:val="28"/>
          <w:szCs w:val="28"/>
        </w:rPr>
        <w:t>在进行作业高度在2m</w:t>
      </w:r>
      <w:r>
        <w:rPr>
          <w:rFonts w:hint="eastAsia" w:ascii="宋体" w:hAnsi="宋体"/>
          <w:sz w:val="28"/>
          <w:szCs w:val="28"/>
        </w:rPr>
        <w:t>及</w:t>
      </w:r>
      <w:r>
        <w:rPr>
          <w:rFonts w:ascii="宋体" w:hAnsi="宋体"/>
          <w:sz w:val="28"/>
          <w:szCs w:val="28"/>
        </w:rPr>
        <w:t>以上的检修</w:t>
      </w:r>
      <w:r>
        <w:rPr>
          <w:rFonts w:hint="eastAsia" w:ascii="宋体" w:hAnsi="宋体"/>
          <w:sz w:val="28"/>
          <w:szCs w:val="28"/>
        </w:rPr>
        <w:t>、油罐车上取样检查油品</w:t>
      </w:r>
      <w:r>
        <w:rPr>
          <w:rFonts w:ascii="宋体" w:hAnsi="宋体"/>
          <w:sz w:val="28"/>
          <w:szCs w:val="28"/>
        </w:rPr>
        <w:t>等作业时，存在高处坠落的危险。</w:t>
      </w:r>
      <w:r>
        <w:rPr>
          <w:rFonts w:hint="eastAsia" w:ascii="宋体" w:hAnsi="宋体"/>
          <w:sz w:val="28"/>
          <w:szCs w:val="28"/>
        </w:rPr>
        <w:t>在高处作业时，若不采取有效的安全防护措施和使用可靠的安全保护装置，很容易发生高处坠落事故；造成高处坠落事故的主要因素有：</w:t>
      </w:r>
    </w:p>
    <w:p w14:paraId="3C83610D">
      <w:pPr>
        <w:pStyle w:val="11"/>
        <w:spacing w:line="500" w:lineRule="exact"/>
        <w:ind w:firstLine="600"/>
        <w:rPr>
          <w:rFonts w:ascii="宋体" w:hAnsi="宋体"/>
          <w:sz w:val="28"/>
          <w:szCs w:val="28"/>
        </w:rPr>
      </w:pPr>
      <w:r>
        <w:rPr>
          <w:rFonts w:hint="eastAsia" w:ascii="宋体" w:hAnsi="宋体"/>
          <w:sz w:val="28"/>
          <w:szCs w:val="28"/>
        </w:rPr>
        <w:t>1</w:t>
      </w:r>
      <w:r>
        <w:rPr>
          <w:rFonts w:hint="eastAsia" w:ascii="宋体" w:hAnsi="宋体"/>
          <w:sz w:val="28"/>
        </w:rPr>
        <w:t>）</w:t>
      </w:r>
      <w:r>
        <w:rPr>
          <w:rFonts w:ascii="宋体" w:hAnsi="宋体"/>
          <w:sz w:val="28"/>
          <w:szCs w:val="28"/>
        </w:rPr>
        <w:t>高处作业时没有按要求佩戴安全带（绳）、安全帽或采取其他有效的安全保护措施；</w:t>
      </w:r>
    </w:p>
    <w:p w14:paraId="4109B012">
      <w:pPr>
        <w:pStyle w:val="11"/>
        <w:spacing w:line="500" w:lineRule="exact"/>
        <w:ind w:firstLine="600"/>
        <w:rPr>
          <w:rFonts w:ascii="宋体" w:hAnsi="宋体"/>
          <w:sz w:val="28"/>
          <w:szCs w:val="28"/>
        </w:rPr>
      </w:pPr>
      <w:r>
        <w:rPr>
          <w:rFonts w:hint="eastAsia" w:ascii="宋体" w:hAnsi="宋体"/>
          <w:sz w:val="28"/>
          <w:szCs w:val="28"/>
        </w:rPr>
        <w:t>2</w:t>
      </w:r>
      <w:r>
        <w:rPr>
          <w:rFonts w:hint="eastAsia" w:ascii="宋体" w:hAnsi="宋体"/>
          <w:sz w:val="28"/>
        </w:rPr>
        <w:t>）</w:t>
      </w:r>
      <w:r>
        <w:rPr>
          <w:rFonts w:ascii="宋体" w:hAnsi="宋体"/>
          <w:sz w:val="28"/>
          <w:szCs w:val="28"/>
        </w:rPr>
        <w:t>高处作业时不按规定使用安全保护装置或安全防护装置有缺陷；</w:t>
      </w:r>
    </w:p>
    <w:p w14:paraId="03CB5D7E">
      <w:pPr>
        <w:pStyle w:val="11"/>
        <w:spacing w:line="500" w:lineRule="exact"/>
        <w:ind w:firstLine="600"/>
        <w:rPr>
          <w:rFonts w:ascii="宋体" w:hAnsi="宋体"/>
          <w:sz w:val="28"/>
          <w:szCs w:val="28"/>
        </w:rPr>
      </w:pPr>
      <w:r>
        <w:rPr>
          <w:rFonts w:hint="eastAsia" w:ascii="宋体" w:hAnsi="宋体"/>
          <w:sz w:val="28"/>
          <w:szCs w:val="28"/>
        </w:rPr>
        <w:t>3</w:t>
      </w:r>
      <w:r>
        <w:rPr>
          <w:rFonts w:hint="eastAsia" w:ascii="宋体" w:hAnsi="宋体"/>
          <w:sz w:val="28"/>
        </w:rPr>
        <w:t>）</w:t>
      </w:r>
      <w:r>
        <w:rPr>
          <w:rFonts w:ascii="宋体" w:hAnsi="宋体"/>
          <w:sz w:val="28"/>
          <w:szCs w:val="28"/>
        </w:rPr>
        <w:t>疏忽大意，疲劳过度</w:t>
      </w:r>
      <w:r>
        <w:rPr>
          <w:rFonts w:hint="eastAsia" w:ascii="宋体" w:hAnsi="宋体"/>
          <w:sz w:val="28"/>
          <w:szCs w:val="28"/>
        </w:rPr>
        <w:t>、</w:t>
      </w:r>
      <w:r>
        <w:rPr>
          <w:rFonts w:ascii="宋体" w:hAnsi="宋体"/>
          <w:sz w:val="28"/>
          <w:szCs w:val="28"/>
        </w:rPr>
        <w:t>违章作业；</w:t>
      </w:r>
    </w:p>
    <w:p w14:paraId="306A5BE0">
      <w:pPr>
        <w:pStyle w:val="11"/>
        <w:spacing w:line="500" w:lineRule="exact"/>
        <w:ind w:firstLine="600"/>
        <w:rPr>
          <w:rFonts w:ascii="宋体" w:hAnsi="宋体"/>
          <w:sz w:val="28"/>
          <w:szCs w:val="28"/>
        </w:rPr>
      </w:pPr>
      <w:r>
        <w:rPr>
          <w:rFonts w:hint="eastAsia" w:ascii="宋体" w:hAnsi="宋体"/>
          <w:sz w:val="28"/>
          <w:szCs w:val="28"/>
        </w:rPr>
        <w:t>4</w:t>
      </w:r>
      <w:r>
        <w:rPr>
          <w:rFonts w:hint="eastAsia" w:ascii="宋体" w:hAnsi="宋体"/>
          <w:sz w:val="28"/>
        </w:rPr>
        <w:t>）</w:t>
      </w:r>
      <w:r>
        <w:rPr>
          <w:rFonts w:ascii="宋体" w:hAnsi="宋体"/>
          <w:sz w:val="28"/>
          <w:szCs w:val="28"/>
        </w:rPr>
        <w:t>高处作业安全管理不到位</w:t>
      </w:r>
      <w:r>
        <w:rPr>
          <w:rFonts w:hint="eastAsia" w:ascii="宋体" w:hAnsi="宋体"/>
          <w:sz w:val="28"/>
          <w:szCs w:val="28"/>
        </w:rPr>
        <w:t>。</w:t>
      </w:r>
    </w:p>
    <w:p w14:paraId="39D5C3C3">
      <w:pPr>
        <w:pStyle w:val="11"/>
        <w:spacing w:line="500" w:lineRule="exact"/>
        <w:ind w:firstLine="6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在雷暴雨、浓雾、大风等恶劣天气进行室外高处作业。</w:t>
      </w:r>
    </w:p>
    <w:p w14:paraId="6EDD4735">
      <w:pPr>
        <w:pStyle w:val="11"/>
        <w:spacing w:line="500" w:lineRule="exact"/>
        <w:ind w:firstLine="600"/>
        <w:rPr>
          <w:rFonts w:ascii="宋体" w:hAnsi="宋体"/>
          <w:sz w:val="28"/>
          <w:szCs w:val="28"/>
        </w:rPr>
      </w:pPr>
      <w:r>
        <w:rPr>
          <w:rFonts w:ascii="宋体" w:hAnsi="宋体"/>
          <w:sz w:val="28"/>
          <w:szCs w:val="28"/>
        </w:rPr>
        <w:t>在罩棚、站房、</w:t>
      </w:r>
      <w:r>
        <w:rPr>
          <w:rFonts w:hint="eastAsia" w:ascii="宋体" w:hAnsi="宋体"/>
          <w:sz w:val="28"/>
          <w:szCs w:val="28"/>
        </w:rPr>
        <w:t>附属房</w:t>
      </w:r>
      <w:r>
        <w:rPr>
          <w:rFonts w:ascii="宋体" w:hAnsi="宋体"/>
          <w:sz w:val="28"/>
          <w:szCs w:val="28"/>
        </w:rPr>
        <w:t>等安装、检修、巡回检查</w:t>
      </w:r>
      <w:r>
        <w:rPr>
          <w:rFonts w:hint="eastAsia" w:ascii="宋体" w:hAnsi="宋体"/>
          <w:sz w:val="28"/>
          <w:szCs w:val="28"/>
        </w:rPr>
        <w:t>、卸油</w:t>
      </w:r>
      <w:r>
        <w:rPr>
          <w:rFonts w:ascii="宋体" w:hAnsi="宋体"/>
          <w:sz w:val="28"/>
          <w:szCs w:val="28"/>
        </w:rPr>
        <w:t>等作业时，均可能会发生高处坠落危险</w:t>
      </w:r>
      <w:r>
        <w:rPr>
          <w:rFonts w:hint="eastAsia" w:ascii="宋体" w:hAnsi="宋体"/>
          <w:sz w:val="28"/>
          <w:szCs w:val="28"/>
        </w:rPr>
        <w:t>。</w:t>
      </w:r>
    </w:p>
    <w:p w14:paraId="671E8529">
      <w:pPr>
        <w:adjustRightInd w:val="0"/>
        <w:snapToGrid w:val="0"/>
        <w:spacing w:line="500" w:lineRule="exact"/>
        <w:ind w:firstLine="560" w:firstLineChars="200"/>
        <w:rPr>
          <w:rFonts w:ascii="宋体" w:hAnsi="宋体"/>
          <w:sz w:val="28"/>
          <w:szCs w:val="28"/>
        </w:rPr>
      </w:pPr>
      <w:bookmarkStart w:id="274" w:name="_Toc438040940"/>
      <w:bookmarkStart w:id="275" w:name="_Toc424306288"/>
      <w:bookmarkStart w:id="276" w:name="_Toc489629057"/>
      <w:bookmarkStart w:id="277" w:name="_Toc424306037"/>
      <w:bookmarkStart w:id="278" w:name="_Toc420403905"/>
      <w:bookmarkStart w:id="279" w:name="_Toc433992387"/>
      <w:r>
        <w:rPr>
          <w:rFonts w:hint="eastAsia" w:ascii="宋体" w:hAnsi="宋体"/>
          <w:sz w:val="28"/>
          <w:szCs w:val="28"/>
        </w:rPr>
        <w:t>7.物体打击</w:t>
      </w:r>
      <w:bookmarkEnd w:id="274"/>
      <w:bookmarkEnd w:id="275"/>
      <w:bookmarkEnd w:id="276"/>
      <w:bookmarkEnd w:id="277"/>
      <w:bookmarkEnd w:id="278"/>
      <w:bookmarkEnd w:id="279"/>
    </w:p>
    <w:p w14:paraId="232A03A0">
      <w:pPr>
        <w:pStyle w:val="11"/>
        <w:spacing w:line="500" w:lineRule="exact"/>
        <w:ind w:firstLine="600"/>
        <w:rPr>
          <w:rFonts w:ascii="宋体" w:hAnsi="宋体"/>
          <w:sz w:val="28"/>
        </w:rPr>
      </w:pPr>
      <w:r>
        <w:rPr>
          <w:rFonts w:hint="eastAsia" w:ascii="宋体" w:hAnsi="宋体"/>
          <w:sz w:val="28"/>
        </w:rPr>
        <w:t>在建设过程中的高处作业、平地施工中，存在发生物体坠落、飞溅事件，造成伤害事故。</w:t>
      </w:r>
    </w:p>
    <w:p w14:paraId="61AE32D4">
      <w:pPr>
        <w:adjustRightInd w:val="0"/>
        <w:snapToGrid w:val="0"/>
        <w:spacing w:line="500" w:lineRule="exact"/>
        <w:ind w:firstLine="560" w:firstLineChars="200"/>
        <w:rPr>
          <w:rFonts w:ascii="宋体" w:hAnsi="宋体"/>
          <w:sz w:val="28"/>
          <w:szCs w:val="28"/>
        </w:rPr>
      </w:pPr>
      <w:bookmarkStart w:id="280" w:name="_Toc433992388"/>
      <w:bookmarkStart w:id="281" w:name="_Toc438040941"/>
      <w:bookmarkStart w:id="282" w:name="_Toc424306038"/>
      <w:bookmarkStart w:id="283" w:name="_Toc420403906"/>
      <w:bookmarkStart w:id="284" w:name="_Toc424306289"/>
      <w:bookmarkStart w:id="285" w:name="_Toc489629058"/>
      <w:r>
        <w:rPr>
          <w:rFonts w:hint="eastAsia" w:ascii="宋体" w:hAnsi="宋体"/>
          <w:sz w:val="28"/>
          <w:szCs w:val="28"/>
        </w:rPr>
        <w:t>8.起重伤害</w:t>
      </w:r>
      <w:bookmarkEnd w:id="280"/>
      <w:bookmarkEnd w:id="281"/>
      <w:bookmarkEnd w:id="282"/>
      <w:bookmarkEnd w:id="283"/>
      <w:bookmarkEnd w:id="284"/>
      <w:bookmarkEnd w:id="285"/>
    </w:p>
    <w:p w14:paraId="366CC2FD">
      <w:pPr>
        <w:pStyle w:val="11"/>
        <w:spacing w:line="500" w:lineRule="exact"/>
        <w:ind w:firstLine="560"/>
        <w:rPr>
          <w:rFonts w:ascii="宋体" w:hAnsi="宋体"/>
          <w:sz w:val="28"/>
        </w:rPr>
      </w:pPr>
      <w:r>
        <w:rPr>
          <w:rFonts w:hint="eastAsia" w:ascii="宋体" w:hAnsi="宋体"/>
          <w:spacing w:val="0"/>
          <w:sz w:val="28"/>
          <w:szCs w:val="28"/>
        </w:rPr>
        <w:t>在设备安装过程中，需采用起重设备吊装，若操作不当或其</w:t>
      </w:r>
      <w:r>
        <w:rPr>
          <w:rFonts w:hint="eastAsia" w:ascii="宋体" w:hAnsi="宋体"/>
          <w:sz w:val="28"/>
        </w:rPr>
        <w:t>他可能会造成起重伤害。</w:t>
      </w:r>
    </w:p>
    <w:p w14:paraId="5073D2CD">
      <w:pPr>
        <w:adjustRightInd w:val="0"/>
        <w:snapToGrid w:val="0"/>
        <w:spacing w:line="500" w:lineRule="exact"/>
        <w:ind w:firstLine="560" w:firstLineChars="200"/>
        <w:rPr>
          <w:rFonts w:ascii="宋体" w:hAnsi="宋体"/>
          <w:sz w:val="28"/>
          <w:szCs w:val="28"/>
        </w:rPr>
      </w:pPr>
      <w:bookmarkStart w:id="286" w:name="_Toc489629059"/>
      <w:bookmarkStart w:id="287" w:name="_Toc433992389"/>
      <w:bookmarkStart w:id="288" w:name="_Toc420403907"/>
      <w:bookmarkStart w:id="289" w:name="_Toc424306039"/>
      <w:bookmarkStart w:id="290" w:name="_Toc438040942"/>
      <w:bookmarkStart w:id="291" w:name="_Toc424306290"/>
      <w:r>
        <w:rPr>
          <w:rFonts w:hint="eastAsia" w:ascii="宋体" w:hAnsi="宋体"/>
          <w:sz w:val="28"/>
          <w:szCs w:val="28"/>
        </w:rPr>
        <w:t>9.灼烫</w:t>
      </w:r>
      <w:bookmarkEnd w:id="286"/>
      <w:bookmarkEnd w:id="287"/>
      <w:bookmarkEnd w:id="288"/>
      <w:bookmarkEnd w:id="289"/>
      <w:bookmarkEnd w:id="290"/>
      <w:bookmarkEnd w:id="291"/>
    </w:p>
    <w:p w14:paraId="666900C1">
      <w:pPr>
        <w:spacing w:line="500" w:lineRule="exact"/>
        <w:ind w:firstLine="700" w:firstLineChars="250"/>
        <w:rPr>
          <w:rFonts w:ascii="宋体" w:hAnsi="宋体"/>
          <w:snapToGrid w:val="0"/>
          <w:sz w:val="28"/>
        </w:rPr>
      </w:pPr>
      <w:r>
        <w:rPr>
          <w:rFonts w:hint="eastAsia" w:ascii="宋体" w:hAnsi="宋体"/>
          <w:snapToGrid w:val="0"/>
          <w:sz w:val="28"/>
        </w:rPr>
        <w:t>在检修电焊作业时，电焊渣等易对人体造成灼烫，主要存在以下因素导致灼烫事故：</w:t>
      </w:r>
    </w:p>
    <w:p w14:paraId="26751298">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hint="eastAsia" w:ascii="宋体" w:hAnsi="宋体"/>
          <w:sz w:val="28"/>
        </w:rPr>
        <w:t>）</w:t>
      </w:r>
      <w:r>
        <w:rPr>
          <w:rFonts w:hint="eastAsia" w:ascii="宋体" w:hAnsi="宋体"/>
          <w:sz w:val="28"/>
          <w:szCs w:val="28"/>
        </w:rPr>
        <w:t>未制定相应操作规程或违章操作；</w:t>
      </w:r>
    </w:p>
    <w:p w14:paraId="6360913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作业人员未取得相应上岗资格；</w:t>
      </w:r>
    </w:p>
    <w:p w14:paraId="48839372">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作业现场管理不善，闲杂人员随意进入作业区。</w:t>
      </w:r>
    </w:p>
    <w:p w14:paraId="72BCAF9A">
      <w:pPr>
        <w:adjustRightInd w:val="0"/>
        <w:snapToGrid w:val="0"/>
        <w:spacing w:line="500" w:lineRule="exact"/>
        <w:ind w:firstLine="560" w:firstLineChars="200"/>
        <w:rPr>
          <w:rFonts w:ascii="宋体" w:hAnsi="宋体"/>
          <w:sz w:val="28"/>
          <w:szCs w:val="28"/>
        </w:rPr>
      </w:pPr>
      <w:bookmarkStart w:id="292" w:name="_Toc489629060"/>
      <w:r>
        <w:rPr>
          <w:rFonts w:hint="eastAsia" w:ascii="宋体" w:hAnsi="宋体"/>
          <w:sz w:val="28"/>
          <w:szCs w:val="28"/>
        </w:rPr>
        <w:t>10.雷电危害</w:t>
      </w:r>
      <w:bookmarkEnd w:id="292"/>
    </w:p>
    <w:p w14:paraId="77BCB6D5">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该加油站在经营过程中，可能存在以下因素导致雷电危害：</w:t>
      </w:r>
    </w:p>
    <w:p w14:paraId="31E3CAE6">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1</w:t>
      </w:r>
      <w:r>
        <w:rPr>
          <w:rFonts w:hint="eastAsia" w:ascii="宋体" w:hAnsi="宋体"/>
          <w:sz w:val="28"/>
        </w:rPr>
        <w:t>）</w:t>
      </w:r>
      <w:r>
        <w:rPr>
          <w:rFonts w:ascii="宋体" w:hAnsi="宋体"/>
          <w:snapToGrid w:val="0"/>
          <w:sz w:val="28"/>
        </w:rPr>
        <w:t>无防雷接地保护系统，防雷装置失效，防雷接地电阻不符合要求；</w:t>
      </w:r>
    </w:p>
    <w:p w14:paraId="35D88171">
      <w:pPr>
        <w:adjustRightInd w:val="0"/>
        <w:snapToGrid w:val="0"/>
        <w:spacing w:line="500" w:lineRule="exact"/>
        <w:ind w:firstLine="560" w:firstLineChars="200"/>
        <w:rPr>
          <w:rFonts w:ascii="宋体" w:hAnsi="宋体"/>
          <w:snapToGrid w:val="0"/>
          <w:sz w:val="28"/>
        </w:rPr>
      </w:pPr>
      <w:bookmarkStart w:id="293" w:name="_Toc438040943"/>
      <w:bookmarkStart w:id="294" w:name="_Toc424306291"/>
      <w:bookmarkStart w:id="295" w:name="_Toc433992390"/>
      <w:bookmarkStart w:id="296" w:name="_Toc424306040"/>
      <w:bookmarkStart w:id="297" w:name="_Toc420403908"/>
      <w:r>
        <w:rPr>
          <w:rFonts w:hint="eastAsia" w:ascii="宋体" w:hAnsi="宋体"/>
          <w:snapToGrid w:val="0"/>
          <w:sz w:val="28"/>
        </w:rPr>
        <w:t>2</w:t>
      </w:r>
      <w:r>
        <w:rPr>
          <w:rFonts w:hint="eastAsia" w:ascii="宋体" w:hAnsi="宋体"/>
          <w:sz w:val="28"/>
        </w:rPr>
        <w:t>）</w:t>
      </w:r>
      <w:r>
        <w:rPr>
          <w:rFonts w:ascii="宋体" w:hAnsi="宋体"/>
          <w:snapToGrid w:val="0"/>
          <w:sz w:val="28"/>
        </w:rPr>
        <w:t>防雷装置的选型不合理，包括高度、型号、直径等方面；</w:t>
      </w:r>
      <w:bookmarkEnd w:id="293"/>
      <w:bookmarkEnd w:id="294"/>
      <w:bookmarkEnd w:id="295"/>
      <w:bookmarkEnd w:id="296"/>
      <w:bookmarkEnd w:id="297"/>
    </w:p>
    <w:p w14:paraId="7B8524E3">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3</w:t>
      </w:r>
      <w:r>
        <w:rPr>
          <w:rFonts w:hint="eastAsia" w:ascii="宋体" w:hAnsi="宋体"/>
          <w:sz w:val="28"/>
        </w:rPr>
        <w:t>）</w:t>
      </w:r>
      <w:r>
        <w:rPr>
          <w:rFonts w:ascii="宋体" w:hAnsi="宋体"/>
          <w:snapToGrid w:val="0"/>
          <w:sz w:val="28"/>
        </w:rPr>
        <w:t>防雷装置设计不合理；</w:t>
      </w:r>
    </w:p>
    <w:p w14:paraId="26002062">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ascii="宋体" w:hAnsi="宋体"/>
          <w:snapToGrid w:val="0"/>
          <w:sz w:val="28"/>
        </w:rPr>
        <w:t>防雷装置安装存在缺陷；</w:t>
      </w:r>
    </w:p>
    <w:p w14:paraId="052C21D8">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缺乏必要的人身防雷基本知识等。</w:t>
      </w:r>
    </w:p>
    <w:p w14:paraId="7AB5A6E5">
      <w:pPr>
        <w:adjustRightInd w:val="0"/>
        <w:snapToGrid w:val="0"/>
        <w:spacing w:line="500" w:lineRule="exact"/>
        <w:ind w:firstLine="560" w:firstLineChars="200"/>
        <w:rPr>
          <w:rFonts w:ascii="宋体" w:hAnsi="宋体"/>
          <w:sz w:val="28"/>
          <w:szCs w:val="28"/>
        </w:rPr>
      </w:pPr>
      <w:bookmarkStart w:id="298" w:name="_Toc424306041"/>
      <w:bookmarkStart w:id="299" w:name="_Toc424306292"/>
      <w:bookmarkStart w:id="300" w:name="_Toc433992391"/>
      <w:bookmarkStart w:id="301" w:name="_Toc420403909"/>
      <w:bookmarkStart w:id="302" w:name="_Toc438040944"/>
      <w:bookmarkStart w:id="303" w:name="_Toc489629061"/>
      <w:r>
        <w:rPr>
          <w:rFonts w:hint="eastAsia" w:ascii="宋体" w:hAnsi="宋体"/>
          <w:sz w:val="28"/>
          <w:szCs w:val="28"/>
        </w:rPr>
        <w:t>11.静电危害</w:t>
      </w:r>
      <w:bookmarkEnd w:id="298"/>
      <w:bookmarkEnd w:id="299"/>
      <w:bookmarkEnd w:id="300"/>
      <w:bookmarkEnd w:id="301"/>
      <w:bookmarkEnd w:id="302"/>
      <w:bookmarkEnd w:id="303"/>
    </w:p>
    <w:p w14:paraId="2490A311">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静电现象在有易燃易爆危险物品的场所，静电荷的火花放电；往往是造成易燃易爆危险物品发生火灾或爆炸的原因；只要同时满足以下几个条件时，就能发生燃烧或爆炸：</w:t>
      </w:r>
    </w:p>
    <w:p w14:paraId="5452FF3F">
      <w:pPr>
        <w:adjustRightInd w:val="0"/>
        <w:snapToGrid w:val="0"/>
        <w:spacing w:line="500" w:lineRule="exact"/>
        <w:ind w:firstLine="560" w:firstLineChars="200"/>
        <w:rPr>
          <w:rFonts w:ascii="宋体" w:hAnsi="宋体"/>
          <w:sz w:val="28"/>
          <w:szCs w:val="28"/>
        </w:rPr>
      </w:pPr>
      <w:bookmarkStart w:id="304" w:name="_Toc489629062"/>
      <w:r>
        <w:rPr>
          <w:rFonts w:hint="eastAsia" w:ascii="宋体" w:hAnsi="宋体"/>
          <w:sz w:val="28"/>
          <w:szCs w:val="28"/>
        </w:rPr>
        <w:t>1</w:t>
      </w:r>
      <w:r>
        <w:rPr>
          <w:rFonts w:hint="eastAsia" w:ascii="宋体" w:hAnsi="宋体"/>
          <w:sz w:val="28"/>
        </w:rPr>
        <w:t>）</w:t>
      </w:r>
      <w:r>
        <w:rPr>
          <w:rFonts w:hint="eastAsia" w:ascii="宋体" w:hAnsi="宋体"/>
          <w:sz w:val="28"/>
          <w:szCs w:val="28"/>
        </w:rPr>
        <w:t>有能够产生静电的条件；</w:t>
      </w:r>
      <w:bookmarkEnd w:id="304"/>
    </w:p>
    <w:p w14:paraId="101B592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有能积累足够的电荷和产生火花放电电压的条件；</w:t>
      </w:r>
    </w:p>
    <w:p w14:paraId="00E25138">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有能引起火花放电的合适的间隙；</w:t>
      </w:r>
    </w:p>
    <w:p w14:paraId="67C9CD70">
      <w:pPr>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hint="eastAsia" w:ascii="宋体" w:hAnsi="宋体"/>
          <w:snapToGrid w:val="0"/>
          <w:sz w:val="28"/>
        </w:rPr>
        <w:t>发生的火花有足够的引燃能量；</w:t>
      </w:r>
    </w:p>
    <w:p w14:paraId="29158482">
      <w:pPr>
        <w:spacing w:line="500" w:lineRule="exact"/>
        <w:ind w:firstLine="560" w:firstLineChars="200"/>
        <w:rPr>
          <w:rFonts w:ascii="宋体" w:hAnsi="宋体"/>
          <w:snapToGrid w:val="0"/>
          <w:sz w:val="28"/>
        </w:rPr>
      </w:pPr>
      <w:r>
        <w:rPr>
          <w:rFonts w:hint="eastAsia" w:ascii="宋体" w:hAnsi="宋体"/>
          <w:snapToGrid w:val="0"/>
          <w:sz w:val="28"/>
        </w:rPr>
        <w:t>5</w:t>
      </w:r>
      <w:r>
        <w:rPr>
          <w:rFonts w:hint="eastAsia" w:ascii="宋体" w:hAnsi="宋体"/>
          <w:sz w:val="28"/>
        </w:rPr>
        <w:t>）</w:t>
      </w:r>
      <w:r>
        <w:rPr>
          <w:rFonts w:hint="eastAsia" w:ascii="宋体" w:hAnsi="宋体"/>
          <w:snapToGrid w:val="0"/>
          <w:sz w:val="28"/>
        </w:rPr>
        <w:t>周围环境中有可被引燃的可燃物与空气的混合物。</w:t>
      </w:r>
    </w:p>
    <w:p w14:paraId="2FC8332B">
      <w:pPr>
        <w:spacing w:line="500" w:lineRule="exact"/>
        <w:ind w:firstLine="560" w:firstLineChars="200"/>
        <w:rPr>
          <w:rFonts w:ascii="宋体" w:hAnsi="宋体"/>
          <w:snapToGrid w:val="0"/>
          <w:sz w:val="28"/>
        </w:rPr>
      </w:pPr>
      <w:r>
        <w:rPr>
          <w:rFonts w:hint="eastAsia" w:ascii="宋体" w:hAnsi="宋体"/>
          <w:snapToGrid w:val="0"/>
          <w:sz w:val="28"/>
        </w:rPr>
        <w:t>物料在灌装、管道输送、汽车运输等过程中，由于在管道、储罐、槽车中摩擦、冲击和激溅，尤其在压力大、流速快、摩擦面积大、器壁粗糙等情况下或设备管道静电接地不良，静电荷迅速增加和大量积聚，极易产生静电放电。</w:t>
      </w:r>
    </w:p>
    <w:p w14:paraId="78EFBC9F">
      <w:pPr>
        <w:spacing w:line="500" w:lineRule="exact"/>
        <w:ind w:firstLine="560" w:firstLineChars="200"/>
        <w:rPr>
          <w:rFonts w:ascii="宋体" w:hAnsi="宋体"/>
          <w:snapToGrid w:val="0"/>
          <w:sz w:val="28"/>
        </w:rPr>
      </w:pPr>
      <w:r>
        <w:rPr>
          <w:rFonts w:hint="eastAsia" w:ascii="宋体" w:hAnsi="宋体"/>
          <w:snapToGrid w:val="0"/>
          <w:sz w:val="28"/>
        </w:rPr>
        <w:t>禁火区域内工作人员穿化纤服装，活动时易产生静电火花；穿带铁钉鞋走动时易打火；在防爆区域内作业，使用非防爆工器具产生火花；机动车辆不戴阻火器，进入防爆区内，从排气筒内排出火花等。</w:t>
      </w:r>
    </w:p>
    <w:p w14:paraId="0F93F6E7">
      <w:pPr>
        <w:pStyle w:val="11"/>
        <w:spacing w:line="500" w:lineRule="exact"/>
        <w:ind w:firstLine="750" w:firstLineChars="250"/>
        <w:rPr>
          <w:rFonts w:ascii="宋体" w:hAnsi="宋体"/>
          <w:sz w:val="28"/>
        </w:rPr>
      </w:pPr>
      <w:r>
        <w:rPr>
          <w:rFonts w:hint="eastAsia" w:ascii="宋体" w:hAnsi="宋体"/>
          <w:sz w:val="28"/>
        </w:rPr>
        <w:t>该加油站油罐区、加油区、卸油区等处可能发生静电危险。</w:t>
      </w:r>
    </w:p>
    <w:p w14:paraId="02A1B440">
      <w:pPr>
        <w:adjustRightInd w:val="0"/>
        <w:snapToGrid w:val="0"/>
        <w:spacing w:line="500" w:lineRule="exact"/>
        <w:ind w:firstLine="560" w:firstLineChars="200"/>
        <w:rPr>
          <w:rFonts w:ascii="宋体" w:hAnsi="宋体"/>
          <w:sz w:val="28"/>
          <w:szCs w:val="28"/>
        </w:rPr>
      </w:pPr>
      <w:bookmarkStart w:id="305" w:name="_Toc420403910"/>
      <w:bookmarkStart w:id="306" w:name="_Toc424306293"/>
      <w:bookmarkStart w:id="307" w:name="_Toc438040945"/>
      <w:bookmarkStart w:id="308" w:name="_Toc433992392"/>
      <w:bookmarkStart w:id="309" w:name="_Toc489629063"/>
      <w:bookmarkStart w:id="310" w:name="_Toc424306042"/>
      <w:r>
        <w:rPr>
          <w:rFonts w:hint="eastAsia" w:ascii="宋体" w:hAnsi="宋体"/>
          <w:sz w:val="28"/>
          <w:szCs w:val="28"/>
        </w:rPr>
        <w:t>12.其它</w:t>
      </w:r>
      <w:bookmarkEnd w:id="305"/>
      <w:bookmarkEnd w:id="306"/>
      <w:bookmarkEnd w:id="307"/>
      <w:bookmarkEnd w:id="308"/>
      <w:bookmarkEnd w:id="309"/>
      <w:bookmarkEnd w:id="310"/>
    </w:p>
    <w:p w14:paraId="6AF7EF13">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hint="eastAsia" w:ascii="宋体" w:hAnsi="宋体"/>
          <w:sz w:val="28"/>
        </w:rPr>
        <w:t>）</w:t>
      </w:r>
      <w:r>
        <w:rPr>
          <w:rFonts w:ascii="宋体" w:hAnsi="宋体"/>
          <w:snapToGrid w:val="0"/>
          <w:kern w:val="0"/>
          <w:sz w:val="28"/>
          <w:szCs w:val="28"/>
        </w:rPr>
        <w:t>若</w:t>
      </w:r>
      <w:r>
        <w:rPr>
          <w:rFonts w:hint="eastAsia" w:ascii="宋体" w:hAnsi="宋体"/>
          <w:snapToGrid w:val="0"/>
          <w:kern w:val="0"/>
          <w:sz w:val="28"/>
          <w:szCs w:val="28"/>
        </w:rPr>
        <w:t>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p>
    <w:p w14:paraId="6CA5263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 xml:space="preserve">若加油站周围发生火灾等可能会对加油站造成火灾、爆炸等危险； </w:t>
      </w:r>
    </w:p>
    <w:p w14:paraId="16D4BF1D">
      <w:pPr>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若进入加油站周围的人员缺乏安全意识，在山地内乱扔烟头等可能对加油站造成火灾、爆炸等危险。</w:t>
      </w:r>
    </w:p>
    <w:p w14:paraId="3F679105">
      <w:pPr>
        <w:pStyle w:val="4"/>
        <w:spacing w:afterLines="100" w:line="500" w:lineRule="exact"/>
        <w:jc w:val="center"/>
        <w:rPr>
          <w:rFonts w:ascii="楷体_GB2312" w:hAnsi="宋体" w:eastAsia="楷体_GB2312"/>
          <w:kern w:val="3"/>
        </w:rPr>
      </w:pPr>
      <w:bookmarkStart w:id="311" w:name="_Toc71894912"/>
      <w:r>
        <w:rPr>
          <w:rFonts w:hint="eastAsia" w:ascii="楷体_GB2312" w:hAnsi="宋体" w:eastAsia="楷体_GB2312"/>
          <w:kern w:val="3"/>
        </w:rPr>
        <w:t>3.4特殊作业</w:t>
      </w:r>
      <w:bookmarkEnd w:id="311"/>
    </w:p>
    <w:p w14:paraId="6238DE57">
      <w:pPr>
        <w:pStyle w:val="4"/>
        <w:spacing w:afterLines="100" w:line="500" w:lineRule="exact"/>
        <w:rPr>
          <w:rFonts w:ascii="黑体" w:hAnsi="宋体"/>
          <w:kern w:val="3"/>
          <w:sz w:val="28"/>
          <w:szCs w:val="28"/>
        </w:rPr>
      </w:pPr>
      <w:bookmarkStart w:id="312" w:name="_Toc71894913"/>
      <w:r>
        <w:rPr>
          <w:rFonts w:hint="eastAsia" w:ascii="黑体" w:hAnsi="宋体"/>
          <w:kern w:val="3"/>
          <w:sz w:val="28"/>
          <w:szCs w:val="28"/>
        </w:rPr>
        <w:t>3.4.1  动火作业危险性分析</w:t>
      </w:r>
      <w:bookmarkEnd w:id="312"/>
    </w:p>
    <w:p w14:paraId="1C1859EB">
      <w:pPr>
        <w:pStyle w:val="11"/>
        <w:ind w:firstLine="600"/>
        <w:rPr>
          <w:rFonts w:ascii="宋体" w:hAnsi="宋体"/>
          <w:sz w:val="28"/>
        </w:rPr>
      </w:pPr>
      <w:r>
        <w:rPr>
          <w:rFonts w:hint="eastAsia" w:ascii="宋体" w:hAnsi="宋体"/>
          <w:sz w:val="28"/>
        </w:rPr>
        <w:t>动火作业是指直接或间接产生明火的工艺设备以外的禁火区内可能产生火焰、火花或炽热表面的非常规作业，如使用电焊、气焊（割）、喷灯、电钻、砂轮等进行的作业。动火作业存在以下隐患可能引起火灾事故、作业人员受伤等事故：</w:t>
      </w:r>
    </w:p>
    <w:p w14:paraId="302D306E">
      <w:pPr>
        <w:pStyle w:val="11"/>
        <w:ind w:firstLine="600"/>
        <w:rPr>
          <w:rFonts w:ascii="宋体" w:hAnsi="宋体"/>
          <w:sz w:val="28"/>
        </w:rPr>
      </w:pPr>
      <w:r>
        <w:rPr>
          <w:rFonts w:hint="eastAsia" w:ascii="宋体" w:hAnsi="宋体"/>
          <w:sz w:val="28"/>
        </w:rPr>
        <w:t>1.</w:t>
      </w:r>
      <w:r>
        <w:rPr>
          <w:rFonts w:ascii="宋体" w:hAnsi="宋体"/>
          <w:sz w:val="28"/>
        </w:rPr>
        <w:t>易燃易爆有害物质</w:t>
      </w:r>
      <w:r>
        <w:rPr>
          <w:rFonts w:hint="eastAsia" w:ascii="宋体" w:hAnsi="宋体"/>
          <w:sz w:val="28"/>
        </w:rPr>
        <w:t>。</w:t>
      </w:r>
    </w:p>
    <w:p w14:paraId="409729B1">
      <w:pPr>
        <w:pStyle w:val="11"/>
        <w:ind w:firstLine="600"/>
        <w:rPr>
          <w:rFonts w:ascii="宋体" w:hAnsi="宋体"/>
          <w:sz w:val="28"/>
        </w:rPr>
      </w:pPr>
      <w:r>
        <w:rPr>
          <w:rFonts w:hint="eastAsia" w:ascii="宋体" w:hAnsi="宋体"/>
          <w:sz w:val="28"/>
        </w:rPr>
        <w:t>2.</w:t>
      </w:r>
      <w:r>
        <w:rPr>
          <w:rFonts w:ascii="宋体" w:hAnsi="宋体"/>
          <w:sz w:val="28"/>
        </w:rPr>
        <w:t>火星窜入其他设备或易燃物侵入动火设备</w:t>
      </w:r>
      <w:r>
        <w:rPr>
          <w:rFonts w:hint="eastAsia" w:ascii="宋体" w:hAnsi="宋体"/>
          <w:sz w:val="28"/>
        </w:rPr>
        <w:t>。</w:t>
      </w:r>
    </w:p>
    <w:p w14:paraId="334CD0C1">
      <w:pPr>
        <w:pStyle w:val="11"/>
        <w:ind w:firstLine="600"/>
        <w:rPr>
          <w:rFonts w:ascii="宋体" w:hAnsi="宋体"/>
          <w:sz w:val="28"/>
        </w:rPr>
      </w:pPr>
      <w:r>
        <w:rPr>
          <w:rFonts w:hint="eastAsia" w:ascii="宋体" w:hAnsi="宋体"/>
          <w:sz w:val="28"/>
        </w:rPr>
        <w:t>3.</w:t>
      </w:r>
      <w:r>
        <w:rPr>
          <w:rFonts w:ascii="宋体" w:hAnsi="宋体"/>
          <w:sz w:val="28"/>
        </w:rPr>
        <w:t>动火点周围有易燃物</w:t>
      </w:r>
      <w:r>
        <w:rPr>
          <w:rFonts w:hint="eastAsia" w:ascii="宋体" w:hAnsi="宋体"/>
          <w:sz w:val="28"/>
        </w:rPr>
        <w:t>。</w:t>
      </w:r>
    </w:p>
    <w:p w14:paraId="65857B99">
      <w:pPr>
        <w:pStyle w:val="11"/>
        <w:ind w:firstLine="600"/>
        <w:rPr>
          <w:rFonts w:ascii="宋体" w:hAnsi="宋体"/>
          <w:sz w:val="28"/>
        </w:rPr>
      </w:pPr>
      <w:r>
        <w:rPr>
          <w:rFonts w:hint="eastAsia" w:ascii="宋体" w:hAnsi="宋体"/>
          <w:sz w:val="28"/>
        </w:rPr>
        <w:t>4.</w:t>
      </w:r>
      <w:r>
        <w:rPr>
          <w:rFonts w:ascii="宋体" w:hAnsi="宋体"/>
          <w:sz w:val="28"/>
        </w:rPr>
        <w:t>泄漏电流（感应电）危害</w:t>
      </w:r>
      <w:r>
        <w:rPr>
          <w:rFonts w:hint="eastAsia" w:ascii="宋体" w:hAnsi="宋体"/>
          <w:sz w:val="28"/>
        </w:rPr>
        <w:t>。</w:t>
      </w:r>
    </w:p>
    <w:p w14:paraId="4C2EED55">
      <w:pPr>
        <w:pStyle w:val="11"/>
        <w:ind w:firstLine="600"/>
        <w:rPr>
          <w:rFonts w:ascii="宋体" w:hAnsi="宋体"/>
          <w:sz w:val="28"/>
        </w:rPr>
      </w:pPr>
      <w:r>
        <w:rPr>
          <w:rFonts w:hint="eastAsia" w:ascii="宋体" w:hAnsi="宋体"/>
          <w:sz w:val="28"/>
        </w:rPr>
        <w:t>5.</w:t>
      </w:r>
      <w:r>
        <w:rPr>
          <w:rFonts w:ascii="宋体" w:hAnsi="宋体"/>
          <w:sz w:val="28"/>
        </w:rPr>
        <w:t>火星飞溅</w:t>
      </w:r>
      <w:r>
        <w:rPr>
          <w:rFonts w:hint="eastAsia" w:ascii="宋体" w:hAnsi="宋体"/>
          <w:sz w:val="28"/>
        </w:rPr>
        <w:t>。</w:t>
      </w:r>
    </w:p>
    <w:p w14:paraId="2C25CBF3">
      <w:pPr>
        <w:pStyle w:val="11"/>
        <w:ind w:firstLine="600"/>
        <w:rPr>
          <w:rFonts w:ascii="宋体" w:hAnsi="宋体"/>
          <w:sz w:val="28"/>
        </w:rPr>
      </w:pPr>
      <w:r>
        <w:rPr>
          <w:rFonts w:hint="eastAsia" w:ascii="宋体" w:hAnsi="宋体"/>
          <w:sz w:val="28"/>
        </w:rPr>
        <w:t>6.</w:t>
      </w:r>
      <w:r>
        <w:rPr>
          <w:rFonts w:ascii="宋体" w:hAnsi="宋体"/>
          <w:sz w:val="28"/>
        </w:rPr>
        <w:t>气瓶间距不足或放置不当</w:t>
      </w:r>
      <w:r>
        <w:rPr>
          <w:rFonts w:hint="eastAsia" w:ascii="宋体" w:hAnsi="宋体"/>
          <w:sz w:val="28"/>
        </w:rPr>
        <w:t>。</w:t>
      </w:r>
    </w:p>
    <w:p w14:paraId="31987880">
      <w:pPr>
        <w:pStyle w:val="11"/>
        <w:ind w:firstLine="600"/>
        <w:rPr>
          <w:rFonts w:ascii="宋体" w:hAnsi="宋体"/>
          <w:sz w:val="28"/>
        </w:rPr>
      </w:pPr>
      <w:r>
        <w:rPr>
          <w:rFonts w:hint="eastAsia" w:ascii="宋体" w:hAnsi="宋体"/>
          <w:sz w:val="28"/>
        </w:rPr>
        <w:t>7.</w:t>
      </w:r>
      <w:r>
        <w:rPr>
          <w:rFonts w:ascii="宋体" w:hAnsi="宋体"/>
          <w:sz w:val="28"/>
        </w:rPr>
        <w:t>电、气焊工具有缺陷</w:t>
      </w:r>
      <w:r>
        <w:rPr>
          <w:rFonts w:hint="eastAsia" w:ascii="宋体" w:hAnsi="宋体"/>
          <w:sz w:val="28"/>
        </w:rPr>
        <w:t>。</w:t>
      </w:r>
    </w:p>
    <w:p w14:paraId="7755809F">
      <w:pPr>
        <w:pStyle w:val="11"/>
        <w:ind w:firstLine="600"/>
        <w:rPr>
          <w:rFonts w:ascii="宋体" w:hAnsi="宋体"/>
          <w:sz w:val="28"/>
        </w:rPr>
      </w:pPr>
      <w:r>
        <w:rPr>
          <w:rFonts w:hint="eastAsia" w:ascii="宋体" w:hAnsi="宋体"/>
          <w:sz w:val="28"/>
        </w:rPr>
        <w:t>8.</w:t>
      </w:r>
      <w:r>
        <w:rPr>
          <w:rFonts w:ascii="宋体" w:hAnsi="宋体"/>
          <w:sz w:val="28"/>
        </w:rPr>
        <w:t>作业过程中，易燃物外泄</w:t>
      </w:r>
      <w:r>
        <w:rPr>
          <w:rFonts w:hint="eastAsia" w:ascii="宋体" w:hAnsi="宋体"/>
          <w:sz w:val="28"/>
        </w:rPr>
        <w:t>。</w:t>
      </w:r>
    </w:p>
    <w:p w14:paraId="3387EA4E">
      <w:pPr>
        <w:pStyle w:val="11"/>
        <w:ind w:firstLine="600"/>
        <w:rPr>
          <w:rFonts w:ascii="宋体" w:hAnsi="宋体"/>
          <w:sz w:val="28"/>
        </w:rPr>
      </w:pPr>
      <w:r>
        <w:rPr>
          <w:rFonts w:hint="eastAsia" w:ascii="宋体" w:hAnsi="宋体"/>
          <w:sz w:val="28"/>
        </w:rPr>
        <w:t>9.</w:t>
      </w:r>
      <w:r>
        <w:rPr>
          <w:rFonts w:ascii="宋体" w:hAnsi="宋体"/>
          <w:sz w:val="28"/>
        </w:rPr>
        <w:t>通风不良</w:t>
      </w:r>
      <w:r>
        <w:rPr>
          <w:rFonts w:hint="eastAsia" w:ascii="宋体" w:hAnsi="宋体"/>
          <w:sz w:val="28"/>
        </w:rPr>
        <w:t>。</w:t>
      </w:r>
    </w:p>
    <w:p w14:paraId="1F59E23C">
      <w:pPr>
        <w:pStyle w:val="11"/>
        <w:ind w:firstLine="600"/>
        <w:rPr>
          <w:rFonts w:ascii="宋体" w:hAnsi="宋体"/>
          <w:sz w:val="28"/>
        </w:rPr>
      </w:pPr>
      <w:r>
        <w:rPr>
          <w:rFonts w:hint="eastAsia" w:ascii="宋体" w:hAnsi="宋体"/>
          <w:sz w:val="28"/>
        </w:rPr>
        <w:t>10.</w:t>
      </w:r>
      <w:r>
        <w:rPr>
          <w:rFonts w:ascii="宋体" w:hAnsi="宋体"/>
          <w:sz w:val="28"/>
        </w:rPr>
        <w:t>未定时监测</w:t>
      </w:r>
      <w:r>
        <w:rPr>
          <w:rFonts w:hint="eastAsia" w:ascii="宋体" w:hAnsi="宋体"/>
          <w:sz w:val="28"/>
        </w:rPr>
        <w:t>。</w:t>
      </w:r>
    </w:p>
    <w:p w14:paraId="51AC0BDD">
      <w:pPr>
        <w:pStyle w:val="11"/>
        <w:ind w:firstLine="600"/>
        <w:rPr>
          <w:rFonts w:ascii="宋体" w:hAnsi="宋体"/>
          <w:sz w:val="28"/>
        </w:rPr>
      </w:pPr>
      <w:r>
        <w:rPr>
          <w:rFonts w:hint="eastAsia" w:ascii="宋体" w:hAnsi="宋体"/>
          <w:sz w:val="28"/>
        </w:rPr>
        <w:t>11.</w:t>
      </w:r>
      <w:r>
        <w:rPr>
          <w:rFonts w:ascii="宋体" w:hAnsi="宋体"/>
          <w:sz w:val="28"/>
        </w:rPr>
        <w:t>监护不当</w:t>
      </w:r>
      <w:r>
        <w:rPr>
          <w:rFonts w:hint="eastAsia" w:ascii="宋体" w:hAnsi="宋体"/>
          <w:sz w:val="28"/>
        </w:rPr>
        <w:t>。</w:t>
      </w:r>
    </w:p>
    <w:p w14:paraId="2B41569F">
      <w:pPr>
        <w:pStyle w:val="11"/>
        <w:ind w:firstLine="600"/>
        <w:rPr>
          <w:rFonts w:ascii="宋体" w:hAnsi="宋体"/>
          <w:sz w:val="28"/>
        </w:rPr>
      </w:pPr>
      <w:r>
        <w:rPr>
          <w:rFonts w:hint="eastAsia" w:ascii="宋体" w:hAnsi="宋体"/>
          <w:sz w:val="28"/>
        </w:rPr>
        <w:t>12.</w:t>
      </w:r>
      <w:r>
        <w:rPr>
          <w:rFonts w:ascii="宋体" w:hAnsi="宋体"/>
          <w:sz w:val="28"/>
        </w:rPr>
        <w:t>应急设施不足或措施不当</w:t>
      </w:r>
      <w:r>
        <w:rPr>
          <w:rFonts w:hint="eastAsia" w:ascii="宋体" w:hAnsi="宋体"/>
          <w:sz w:val="28"/>
        </w:rPr>
        <w:t>。</w:t>
      </w:r>
    </w:p>
    <w:p w14:paraId="4F8613F2">
      <w:pPr>
        <w:pStyle w:val="11"/>
        <w:ind w:firstLine="600"/>
        <w:rPr>
          <w:rFonts w:ascii="宋体" w:hAnsi="宋体"/>
          <w:sz w:val="28"/>
        </w:rPr>
      </w:pPr>
      <w:r>
        <w:rPr>
          <w:rFonts w:hint="eastAsia" w:ascii="宋体" w:hAnsi="宋体"/>
          <w:sz w:val="28"/>
        </w:rPr>
        <w:t>13.</w:t>
      </w:r>
      <w:r>
        <w:rPr>
          <w:rFonts w:ascii="宋体" w:hAnsi="宋体"/>
          <w:sz w:val="28"/>
        </w:rPr>
        <w:t>涉及危险作业组合，未落实相应安全措施</w:t>
      </w:r>
      <w:r>
        <w:rPr>
          <w:rFonts w:hint="eastAsia" w:ascii="宋体" w:hAnsi="宋体"/>
          <w:sz w:val="28"/>
        </w:rPr>
        <w:t>。</w:t>
      </w:r>
    </w:p>
    <w:p w14:paraId="00CE159F">
      <w:pPr>
        <w:pStyle w:val="4"/>
        <w:spacing w:afterLines="100" w:line="500" w:lineRule="exact"/>
        <w:rPr>
          <w:rFonts w:ascii="黑体" w:hAnsi="宋体"/>
          <w:kern w:val="3"/>
          <w:sz w:val="28"/>
          <w:szCs w:val="28"/>
        </w:rPr>
      </w:pPr>
      <w:bookmarkStart w:id="313" w:name="_Toc489617611"/>
      <w:bookmarkStart w:id="314" w:name="_Toc71894914"/>
      <w:r>
        <w:rPr>
          <w:rFonts w:hint="eastAsia" w:ascii="黑体" w:hAnsi="宋体"/>
          <w:kern w:val="3"/>
          <w:sz w:val="28"/>
          <w:szCs w:val="28"/>
        </w:rPr>
        <w:t>3.4.2  受限空间作业危险性分析</w:t>
      </w:r>
      <w:bookmarkEnd w:id="313"/>
      <w:bookmarkEnd w:id="314"/>
    </w:p>
    <w:p w14:paraId="1FAA7E35">
      <w:pPr>
        <w:pStyle w:val="11"/>
        <w:ind w:firstLine="600"/>
        <w:rPr>
          <w:rFonts w:ascii="宋体" w:hAnsi="宋体"/>
          <w:sz w:val="28"/>
        </w:rPr>
      </w:pPr>
      <w:r>
        <w:rPr>
          <w:rFonts w:hint="eastAsia" w:ascii="宋体" w:hAnsi="宋体"/>
          <w:sz w:val="28"/>
        </w:rPr>
        <w:t>受限空间：是指进出口受限，通风不良，可能存在易燃易爆、有毒有害物质或氧含量不足的空间缺氧，对进入人员的身体健康和生命安全构成威胁的封闭、半封闭设施及场所，如反应器、塔、釜、槽、罐、炉膛、锅筒、管道以及地下室、坑、下水道或其他封闭、半封闭场所。受限空间作业是指作业人员进入受限空间进行的作业。受限空间作业存在以下</w:t>
      </w:r>
      <w:r>
        <w:rPr>
          <w:rFonts w:ascii="宋体" w:hAnsi="宋体"/>
          <w:sz w:val="28"/>
        </w:rPr>
        <w:t>事故类型</w:t>
      </w:r>
      <w:r>
        <w:rPr>
          <w:rFonts w:hint="eastAsia" w:ascii="宋体" w:hAnsi="宋体"/>
          <w:sz w:val="28"/>
        </w:rPr>
        <w:t>：</w:t>
      </w:r>
    </w:p>
    <w:p w14:paraId="2EC24A05">
      <w:pPr>
        <w:pStyle w:val="11"/>
        <w:ind w:firstLine="600"/>
        <w:rPr>
          <w:rFonts w:ascii="宋体" w:hAnsi="宋体"/>
          <w:sz w:val="28"/>
        </w:rPr>
      </w:pPr>
      <w:r>
        <w:rPr>
          <w:rFonts w:ascii="宋体" w:hAnsi="宋体"/>
          <w:sz w:val="28"/>
        </w:rPr>
        <w:t>1</w:t>
      </w:r>
      <w:r>
        <w:rPr>
          <w:rFonts w:hint="eastAsia" w:ascii="宋体" w:hAnsi="宋体"/>
          <w:sz w:val="28"/>
        </w:rPr>
        <w:t>.</w:t>
      </w:r>
      <w:r>
        <w:rPr>
          <w:rFonts w:ascii="宋体" w:hAnsi="宋体"/>
          <w:sz w:val="28"/>
        </w:rPr>
        <w:t>物体打击</w:t>
      </w:r>
      <w:r>
        <w:rPr>
          <w:rFonts w:hint="eastAsia" w:ascii="宋体" w:hAnsi="宋体"/>
          <w:sz w:val="28"/>
        </w:rPr>
        <w:t>：</w:t>
      </w:r>
      <w:r>
        <w:rPr>
          <w:rFonts w:ascii="宋体" w:hAnsi="宋体"/>
          <w:sz w:val="28"/>
        </w:rPr>
        <w:t>许多受限空间入口处往往设有作业平台，作业人员在作业过程中，由于其安全意识不强，监护人监护不到位，在传递工具或打开窨井盖、釜盖等过程中发生物体打击伤害。</w:t>
      </w:r>
    </w:p>
    <w:p w14:paraId="2E518956">
      <w:pPr>
        <w:pStyle w:val="11"/>
        <w:ind w:firstLine="600"/>
        <w:rPr>
          <w:rFonts w:ascii="宋体" w:hAnsi="宋体"/>
          <w:sz w:val="28"/>
        </w:rPr>
      </w:pPr>
      <w:r>
        <w:rPr>
          <w:rFonts w:ascii="宋体" w:hAnsi="宋体"/>
          <w:sz w:val="28"/>
        </w:rPr>
        <w:t>2</w:t>
      </w:r>
      <w:r>
        <w:rPr>
          <w:rFonts w:hint="eastAsia" w:ascii="宋体" w:hAnsi="宋体"/>
          <w:sz w:val="28"/>
        </w:rPr>
        <w:t>.</w:t>
      </w:r>
      <w:r>
        <w:rPr>
          <w:rFonts w:ascii="宋体" w:hAnsi="宋体"/>
          <w:sz w:val="28"/>
        </w:rPr>
        <w:t>中毒或窒息</w:t>
      </w:r>
      <w:r>
        <w:rPr>
          <w:rFonts w:hint="eastAsia" w:ascii="宋体" w:hAnsi="宋体"/>
          <w:sz w:val="28"/>
        </w:rPr>
        <w:t>：</w:t>
      </w:r>
      <w:r>
        <w:rPr>
          <w:rFonts w:ascii="宋体" w:hAnsi="宋体"/>
          <w:sz w:val="28"/>
        </w:rPr>
        <w:t>大多受限空间需要定期进入进行维护、清理和定检。与这些设备连接的有许多管道、阀门，倘若安全措施不落实，未打盲板，阀门内漏，置换、通风不彻底，氧浓度不合格，往往给有毒有害物质和窒息性气体以可乘之机，滞留在受限空间内致使作业人员中毒或窒息。也有一些窨井、地窖、化粪池等在发酵菌的长期作用下，有毒气体产生、聚集，致使作业人员中毒。</w:t>
      </w:r>
    </w:p>
    <w:p w14:paraId="008CD4B0">
      <w:pPr>
        <w:pStyle w:val="11"/>
        <w:ind w:firstLine="600"/>
        <w:rPr>
          <w:rFonts w:ascii="宋体" w:hAnsi="宋体"/>
          <w:sz w:val="28"/>
        </w:rPr>
      </w:pPr>
      <w:r>
        <w:rPr>
          <w:rFonts w:ascii="宋体" w:hAnsi="宋体"/>
          <w:sz w:val="28"/>
        </w:rPr>
        <w:t>3</w:t>
      </w:r>
      <w:r>
        <w:rPr>
          <w:rFonts w:hint="eastAsia" w:ascii="宋体" w:hAnsi="宋体"/>
          <w:sz w:val="28"/>
        </w:rPr>
        <w:t>.</w:t>
      </w:r>
      <w:r>
        <w:rPr>
          <w:rFonts w:ascii="宋体" w:hAnsi="宋体"/>
          <w:sz w:val="28"/>
        </w:rPr>
        <w:t>高</w:t>
      </w:r>
      <w:r>
        <w:rPr>
          <w:rFonts w:hint="eastAsia" w:ascii="宋体" w:hAnsi="宋体"/>
          <w:sz w:val="28"/>
        </w:rPr>
        <w:t>处</w:t>
      </w:r>
      <w:r>
        <w:rPr>
          <w:rFonts w:ascii="宋体" w:hAnsi="宋体"/>
          <w:sz w:val="28"/>
        </w:rPr>
        <w:t>坠落、机械伤害</w:t>
      </w:r>
      <w:r>
        <w:rPr>
          <w:rFonts w:hint="eastAsia" w:ascii="宋体" w:hAnsi="宋体"/>
          <w:sz w:val="28"/>
        </w:rPr>
        <w:t>：</w:t>
      </w:r>
      <w:r>
        <w:rPr>
          <w:rFonts w:ascii="宋体" w:hAnsi="宋体"/>
          <w:sz w:val="28"/>
        </w:rPr>
        <w:t>在作业过程中由于作业人员的误操作、安全附件不齐全以及风力、高温等环境因素的影响，极易造成高空坠落、机械伤害等事故。</w:t>
      </w:r>
    </w:p>
    <w:p w14:paraId="264A888A">
      <w:pPr>
        <w:pStyle w:val="11"/>
        <w:ind w:firstLine="600"/>
        <w:rPr>
          <w:rFonts w:ascii="宋体" w:hAnsi="宋体"/>
          <w:sz w:val="28"/>
        </w:rPr>
      </w:pPr>
      <w:r>
        <w:rPr>
          <w:rFonts w:ascii="宋体" w:hAnsi="宋体"/>
          <w:sz w:val="28"/>
        </w:rPr>
        <w:t>4</w:t>
      </w:r>
      <w:r>
        <w:rPr>
          <w:rFonts w:hint="eastAsia" w:ascii="宋体" w:hAnsi="宋体"/>
          <w:sz w:val="28"/>
        </w:rPr>
        <w:t>.</w:t>
      </w:r>
      <w:r>
        <w:rPr>
          <w:rFonts w:ascii="宋体" w:hAnsi="宋体"/>
          <w:sz w:val="28"/>
        </w:rPr>
        <w:t>触电</w:t>
      </w:r>
      <w:r>
        <w:rPr>
          <w:rFonts w:hint="eastAsia" w:ascii="宋体" w:hAnsi="宋体"/>
          <w:sz w:val="28"/>
        </w:rPr>
        <w:t>：</w:t>
      </w:r>
      <w:r>
        <w:rPr>
          <w:rFonts w:ascii="宋体" w:hAnsi="宋体"/>
          <w:sz w:val="28"/>
        </w:rPr>
        <w:t>作业人员进入受限空间作业，往往需要进行焊接补漏等工作，在使用电气工器具作业过程中，由于空间内空气湿度大电源线漏电、未使用漏电保护器或漏电保护器选型不当以及焊把线绝缘损坏等，造成作业人员触电伤害。</w:t>
      </w:r>
    </w:p>
    <w:p w14:paraId="6A626474">
      <w:pPr>
        <w:pStyle w:val="11"/>
        <w:ind w:firstLine="600"/>
        <w:rPr>
          <w:rFonts w:ascii="宋体" w:hAnsi="宋体"/>
          <w:sz w:val="28"/>
        </w:rPr>
      </w:pPr>
      <w:r>
        <w:rPr>
          <w:rFonts w:ascii="宋体" w:hAnsi="宋体"/>
          <w:sz w:val="28"/>
        </w:rPr>
        <w:t>5</w:t>
      </w:r>
      <w:r>
        <w:rPr>
          <w:rFonts w:hint="eastAsia" w:ascii="宋体" w:hAnsi="宋体"/>
          <w:sz w:val="28"/>
        </w:rPr>
        <w:t>.燃烧</w:t>
      </w:r>
      <w:r>
        <w:rPr>
          <w:rFonts w:ascii="宋体" w:hAnsi="宋体"/>
          <w:sz w:val="28"/>
        </w:rPr>
        <w:t>爆炸</w:t>
      </w:r>
      <w:r>
        <w:rPr>
          <w:rFonts w:hint="eastAsia" w:ascii="宋体" w:hAnsi="宋体"/>
          <w:sz w:val="28"/>
        </w:rPr>
        <w:t>：</w:t>
      </w:r>
      <w:r>
        <w:rPr>
          <w:rFonts w:ascii="宋体" w:hAnsi="宋体"/>
          <w:sz w:val="28"/>
        </w:rPr>
        <w:t>由于通风不良，受限空间内有害物质挥发的可燃气体在空间内不断聚集，当其达到爆炸极限后，遇明火即会发生爆炸，造成人员、设施的损害。</w:t>
      </w:r>
    </w:p>
    <w:p w14:paraId="400F06F7">
      <w:pPr>
        <w:pStyle w:val="11"/>
        <w:ind w:firstLine="600"/>
        <w:rPr>
          <w:rFonts w:ascii="宋体" w:hAnsi="宋体"/>
          <w:sz w:val="28"/>
        </w:rPr>
      </w:pPr>
      <w:r>
        <w:rPr>
          <w:rFonts w:ascii="宋体" w:hAnsi="宋体"/>
          <w:sz w:val="28"/>
        </w:rPr>
        <w:t>6</w:t>
      </w:r>
      <w:r>
        <w:rPr>
          <w:rFonts w:hint="eastAsia" w:ascii="宋体" w:hAnsi="宋体"/>
          <w:sz w:val="28"/>
        </w:rPr>
        <w:t>.</w:t>
      </w:r>
      <w:r>
        <w:rPr>
          <w:rFonts w:ascii="宋体" w:hAnsi="宋体"/>
          <w:sz w:val="28"/>
        </w:rPr>
        <w:t>坍塌</w:t>
      </w:r>
      <w:r>
        <w:rPr>
          <w:rFonts w:hint="eastAsia" w:ascii="宋体" w:hAnsi="宋体"/>
          <w:sz w:val="28"/>
        </w:rPr>
        <w:t>：</w:t>
      </w:r>
      <w:r>
        <w:rPr>
          <w:rFonts w:ascii="宋体" w:hAnsi="宋体"/>
          <w:sz w:val="28"/>
        </w:rPr>
        <w:t>受限空间作业使用脚手架、作业平台或作业空间临时支护应下部支撑沉降、支撑倾覆、受力过载平台脚手架发生整体垮塌，造成人员设备被掩埋、砸伤设备损坏，人员受伤后救护不力造成事故扩大。</w:t>
      </w:r>
    </w:p>
    <w:p w14:paraId="449E6740">
      <w:pPr>
        <w:pStyle w:val="11"/>
        <w:ind w:firstLine="600"/>
        <w:rPr>
          <w:rFonts w:ascii="宋体" w:hAnsi="宋体"/>
          <w:sz w:val="28"/>
        </w:rPr>
      </w:pPr>
      <w:r>
        <w:rPr>
          <w:rFonts w:ascii="宋体" w:hAnsi="宋体"/>
          <w:sz w:val="28"/>
        </w:rPr>
        <w:t>7</w:t>
      </w:r>
      <w:r>
        <w:rPr>
          <w:rFonts w:hint="eastAsia" w:ascii="宋体" w:hAnsi="宋体"/>
          <w:sz w:val="28"/>
        </w:rPr>
        <w:t>.</w:t>
      </w:r>
      <w:r>
        <w:rPr>
          <w:rFonts w:ascii="宋体" w:hAnsi="宋体"/>
          <w:sz w:val="28"/>
        </w:rPr>
        <w:t>高温低温伤害</w:t>
      </w:r>
      <w:r>
        <w:rPr>
          <w:rFonts w:hint="eastAsia" w:ascii="宋体" w:hAnsi="宋体"/>
          <w:sz w:val="28"/>
        </w:rPr>
        <w:t>：</w:t>
      </w:r>
      <w:r>
        <w:rPr>
          <w:rFonts w:ascii="宋体" w:hAnsi="宋体"/>
          <w:sz w:val="28"/>
        </w:rPr>
        <w:t>受限空间作业所涉及区域存在高低温辐射源，作业人员未采取相应的的个体保护措施，或防护措施不力造成人员伤害；进入受限空间作业，通常是由二人或二人以上同时进行作业，当事故发生后， 由于人的心理原因以及其他因素，同作业人员或监护人，不佩戴任何防护用具，急于将受害者救出，从而造成事故的进一步扩大。</w:t>
      </w:r>
    </w:p>
    <w:p w14:paraId="5E029026">
      <w:pPr>
        <w:pStyle w:val="4"/>
        <w:spacing w:afterLines="100" w:line="500" w:lineRule="exact"/>
        <w:rPr>
          <w:rFonts w:ascii="黑体" w:hAnsi="宋体"/>
          <w:kern w:val="3"/>
          <w:sz w:val="28"/>
          <w:szCs w:val="28"/>
        </w:rPr>
      </w:pPr>
      <w:bookmarkStart w:id="315" w:name="_Toc489617612"/>
      <w:bookmarkStart w:id="316" w:name="_Toc71894915"/>
      <w:r>
        <w:rPr>
          <w:rFonts w:hint="eastAsia" w:ascii="黑体" w:hAnsi="宋体"/>
          <w:kern w:val="3"/>
          <w:sz w:val="28"/>
          <w:szCs w:val="28"/>
        </w:rPr>
        <w:t>3.4.3  高处作业危险性分析</w:t>
      </w:r>
      <w:bookmarkEnd w:id="315"/>
      <w:bookmarkEnd w:id="316"/>
    </w:p>
    <w:p w14:paraId="425E44B0">
      <w:pPr>
        <w:pStyle w:val="11"/>
        <w:ind w:firstLine="600"/>
        <w:rPr>
          <w:rFonts w:ascii="宋体" w:hAnsi="宋体"/>
          <w:sz w:val="28"/>
        </w:rPr>
      </w:pPr>
      <w:r>
        <w:rPr>
          <w:rFonts w:hint="eastAsia" w:ascii="宋体" w:hAnsi="宋体"/>
          <w:sz w:val="28"/>
        </w:rPr>
        <w:t>高处作业是指在距坠落基准面2m及2m以上有可能坠落的高处进行的作业。</w:t>
      </w:r>
    </w:p>
    <w:p w14:paraId="551E0801">
      <w:pPr>
        <w:pStyle w:val="11"/>
        <w:ind w:firstLine="600"/>
        <w:rPr>
          <w:rFonts w:ascii="宋体" w:hAnsi="宋体"/>
          <w:sz w:val="28"/>
        </w:rPr>
      </w:pPr>
      <w:r>
        <w:rPr>
          <w:rFonts w:hint="eastAsia" w:ascii="宋体" w:hAnsi="宋体"/>
          <w:sz w:val="28"/>
        </w:rPr>
        <w:t>1.使用脚手架、平台、梯子时</w:t>
      </w:r>
      <w:r>
        <w:rPr>
          <w:rFonts w:ascii="宋体" w:hAnsi="宋体"/>
          <w:sz w:val="28"/>
        </w:rPr>
        <w:t>,</w:t>
      </w:r>
      <w:r>
        <w:rPr>
          <w:rFonts w:hint="eastAsia" w:ascii="宋体" w:hAnsi="宋体"/>
          <w:sz w:val="28"/>
        </w:rPr>
        <w:t>违章作业</w:t>
      </w:r>
      <w:r>
        <w:rPr>
          <w:rFonts w:ascii="宋体" w:hAnsi="宋体"/>
          <w:sz w:val="28"/>
        </w:rPr>
        <w:t>,</w:t>
      </w:r>
      <w:r>
        <w:rPr>
          <w:rFonts w:hint="eastAsia" w:ascii="宋体" w:hAnsi="宋体"/>
          <w:sz w:val="28"/>
        </w:rPr>
        <w:t>不系安全带或者系挂不正确</w:t>
      </w:r>
      <w:r>
        <w:rPr>
          <w:rFonts w:ascii="宋体" w:hAnsi="宋体"/>
          <w:sz w:val="28"/>
        </w:rPr>
        <w:t>,</w:t>
      </w:r>
      <w:r>
        <w:rPr>
          <w:rFonts w:hint="eastAsia" w:ascii="宋体" w:hAnsi="宋体"/>
          <w:sz w:val="28"/>
        </w:rPr>
        <w:t>或穿硬底鞋</w:t>
      </w:r>
      <w:r>
        <w:rPr>
          <w:rFonts w:ascii="宋体" w:hAnsi="宋体"/>
          <w:sz w:val="28"/>
        </w:rPr>
        <w:t>,</w:t>
      </w:r>
      <w:r>
        <w:rPr>
          <w:rFonts w:hint="eastAsia" w:ascii="宋体" w:hAnsi="宋体"/>
          <w:sz w:val="28"/>
        </w:rPr>
        <w:t>或未搭设脚手架、未设安全网</w:t>
      </w:r>
      <w:r>
        <w:rPr>
          <w:rFonts w:ascii="宋体" w:hAnsi="宋体"/>
          <w:sz w:val="28"/>
        </w:rPr>
        <w:t>,</w:t>
      </w:r>
      <w:r>
        <w:rPr>
          <w:rFonts w:hint="eastAsia" w:ascii="宋体" w:hAnsi="宋体"/>
          <w:sz w:val="28"/>
        </w:rPr>
        <w:t>均容易发生坠落。</w:t>
      </w:r>
    </w:p>
    <w:p w14:paraId="2454482C">
      <w:pPr>
        <w:pStyle w:val="11"/>
        <w:ind w:firstLine="600"/>
        <w:rPr>
          <w:rFonts w:ascii="宋体" w:hAnsi="宋体"/>
          <w:sz w:val="28"/>
        </w:rPr>
      </w:pPr>
      <w:r>
        <w:rPr>
          <w:rFonts w:hint="eastAsia" w:ascii="宋体" w:hAnsi="宋体"/>
          <w:sz w:val="28"/>
        </w:rPr>
        <w:t>2.作业人员患有高血压、心脏病、癫痫病、恐高症等</w:t>
      </w:r>
      <w:r>
        <w:rPr>
          <w:rFonts w:ascii="宋体" w:hAnsi="宋体"/>
          <w:sz w:val="28"/>
        </w:rPr>
        <w:t>,</w:t>
      </w:r>
      <w:r>
        <w:rPr>
          <w:rFonts w:hint="eastAsia" w:ascii="宋体" w:hAnsi="宋体"/>
          <w:sz w:val="28"/>
        </w:rPr>
        <w:t>或心理存在缺陷</w:t>
      </w:r>
      <w:r>
        <w:rPr>
          <w:rFonts w:ascii="宋体" w:hAnsi="宋体"/>
          <w:sz w:val="28"/>
        </w:rPr>
        <w:t>,</w:t>
      </w:r>
      <w:r>
        <w:rPr>
          <w:rFonts w:hint="eastAsia" w:ascii="宋体" w:hAnsi="宋体"/>
          <w:sz w:val="28"/>
        </w:rPr>
        <w:t>年龄偏大</w:t>
      </w:r>
      <w:r>
        <w:rPr>
          <w:rFonts w:ascii="宋体" w:hAnsi="宋体"/>
          <w:sz w:val="28"/>
        </w:rPr>
        <w:t>,</w:t>
      </w:r>
      <w:r>
        <w:rPr>
          <w:rFonts w:hint="eastAsia" w:ascii="宋体" w:hAnsi="宋体"/>
          <w:sz w:val="28"/>
        </w:rPr>
        <w:t>从事高空作业</w:t>
      </w:r>
      <w:r>
        <w:rPr>
          <w:rFonts w:ascii="宋体" w:hAnsi="宋体"/>
          <w:sz w:val="28"/>
        </w:rPr>
        <w:t>,</w:t>
      </w:r>
      <w:r>
        <w:rPr>
          <w:rFonts w:hint="eastAsia" w:ascii="宋体" w:hAnsi="宋体"/>
          <w:sz w:val="28"/>
        </w:rPr>
        <w:t>容易发生坠落。</w:t>
      </w:r>
    </w:p>
    <w:p w14:paraId="6FC8D437">
      <w:pPr>
        <w:pStyle w:val="11"/>
        <w:ind w:firstLine="600"/>
        <w:rPr>
          <w:rFonts w:ascii="宋体" w:hAnsi="宋体"/>
          <w:sz w:val="28"/>
        </w:rPr>
      </w:pPr>
      <w:r>
        <w:rPr>
          <w:rFonts w:hint="eastAsia" w:ascii="宋体" w:hAnsi="宋体"/>
          <w:sz w:val="28"/>
        </w:rPr>
        <w:t>3.作业人员酗酒</w:t>
      </w:r>
      <w:r>
        <w:rPr>
          <w:rFonts w:ascii="宋体" w:hAnsi="宋体"/>
          <w:sz w:val="28"/>
        </w:rPr>
        <w:t>,</w:t>
      </w:r>
      <w:r>
        <w:rPr>
          <w:rFonts w:hint="eastAsia" w:ascii="宋体" w:hAnsi="宋体"/>
          <w:sz w:val="28"/>
        </w:rPr>
        <w:t>施工作业人员、监护人缺乏必要的施工经验和施工技能</w:t>
      </w:r>
      <w:r>
        <w:rPr>
          <w:rFonts w:ascii="宋体" w:hAnsi="宋体"/>
          <w:sz w:val="28"/>
        </w:rPr>
        <w:t>,</w:t>
      </w:r>
      <w:r>
        <w:rPr>
          <w:rFonts w:hint="eastAsia" w:ascii="宋体" w:hAnsi="宋体"/>
          <w:sz w:val="28"/>
        </w:rPr>
        <w:t>安全意识淡薄</w:t>
      </w:r>
      <w:r>
        <w:rPr>
          <w:rFonts w:ascii="宋体" w:hAnsi="宋体"/>
          <w:sz w:val="28"/>
        </w:rPr>
        <w:t>,</w:t>
      </w:r>
      <w:r>
        <w:rPr>
          <w:rFonts w:hint="eastAsia" w:ascii="宋体" w:hAnsi="宋体"/>
          <w:sz w:val="28"/>
        </w:rPr>
        <w:t>未经培训和安全教育</w:t>
      </w:r>
      <w:r>
        <w:rPr>
          <w:rFonts w:ascii="宋体" w:hAnsi="宋体"/>
          <w:sz w:val="28"/>
        </w:rPr>
        <w:t>,</w:t>
      </w:r>
      <w:r>
        <w:fldChar w:fldCharType="begin"/>
      </w:r>
      <w:r>
        <w:instrText xml:space="preserve"> HYPERLINK "https://www.baidu.com/s?wd=%E5%BA%94%E5%8F%98%E8%83%BD%E5%8A%9B&amp;tn=44039180_cpr&amp;fenlei=mv6quAkxTZn0IZRqIHckPjm4nH00T1YzryN9m1fsnWFBPvFWnWTY0ZwV5Hcvrjm3rH6sPfKWUMw85HfYnjn4nH6sgvPsT6KdThsqpZwYTjCEQLGCpyw9Uz4Bmy-bIi4WUvYETgN-TLwGUv3EPHRdPWDvrHfvnjDsPWnzPWDz"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应变能力</w:t>
      </w:r>
      <w:r>
        <w:rPr>
          <w:rFonts w:hint="eastAsia" w:ascii="宋体" w:hAnsi="宋体"/>
          <w:sz w:val="28"/>
        </w:rPr>
        <w:fldChar w:fldCharType="end"/>
      </w:r>
      <w:r>
        <w:rPr>
          <w:rFonts w:hint="eastAsia" w:ascii="宋体" w:hAnsi="宋体"/>
          <w:sz w:val="28"/>
        </w:rPr>
        <w:t>差。</w:t>
      </w:r>
    </w:p>
    <w:p w14:paraId="129CB7DD">
      <w:pPr>
        <w:pStyle w:val="11"/>
        <w:ind w:firstLine="600"/>
        <w:rPr>
          <w:rFonts w:ascii="宋体" w:hAnsi="宋体"/>
          <w:sz w:val="28"/>
        </w:rPr>
      </w:pPr>
      <w:r>
        <w:rPr>
          <w:rFonts w:hint="eastAsia" w:ascii="宋体" w:hAnsi="宋体"/>
          <w:sz w:val="28"/>
        </w:rPr>
        <w:t>4.作业使用脚手架、平台、梯子</w:t>
      </w:r>
      <w:r>
        <w:rPr>
          <w:rFonts w:ascii="宋体" w:hAnsi="宋体"/>
          <w:sz w:val="28"/>
        </w:rPr>
        <w:t>,</w:t>
      </w:r>
      <w:r>
        <w:rPr>
          <w:rFonts w:hint="eastAsia" w:ascii="宋体" w:hAnsi="宋体"/>
          <w:sz w:val="28"/>
        </w:rPr>
        <w:t>挂蓝时</w:t>
      </w:r>
      <w:r>
        <w:rPr>
          <w:rFonts w:ascii="宋体" w:hAnsi="宋体"/>
          <w:sz w:val="28"/>
        </w:rPr>
        <w:t>,</w:t>
      </w:r>
      <w:r>
        <w:rPr>
          <w:rFonts w:hint="eastAsia" w:ascii="宋体" w:hAnsi="宋体"/>
          <w:sz w:val="28"/>
        </w:rPr>
        <w:t>遇到恶劣气候如大风雪、大雾、大暴雨等</w:t>
      </w:r>
      <w:r>
        <w:rPr>
          <w:rFonts w:ascii="宋体" w:hAnsi="宋体"/>
          <w:sz w:val="28"/>
        </w:rPr>
        <w:t>,</w:t>
      </w:r>
      <w:r>
        <w:rPr>
          <w:rFonts w:hint="eastAsia" w:ascii="宋体" w:hAnsi="宋体"/>
          <w:sz w:val="28"/>
        </w:rPr>
        <w:t>容易发生坠落。</w:t>
      </w:r>
    </w:p>
    <w:p w14:paraId="115C384F">
      <w:pPr>
        <w:pStyle w:val="11"/>
        <w:ind w:firstLine="600"/>
        <w:rPr>
          <w:rFonts w:ascii="宋体" w:hAnsi="宋体"/>
          <w:sz w:val="28"/>
        </w:rPr>
      </w:pPr>
      <w:r>
        <w:rPr>
          <w:rFonts w:hint="eastAsia" w:ascii="宋体" w:hAnsi="宋体"/>
          <w:sz w:val="28"/>
        </w:rPr>
        <w:t>5.使用脚手架过程中</w:t>
      </w:r>
      <w:r>
        <w:rPr>
          <w:rFonts w:ascii="宋体" w:hAnsi="宋体"/>
          <w:sz w:val="28"/>
        </w:rPr>
        <w:t>,</w:t>
      </w:r>
      <w:r>
        <w:rPr>
          <w:rFonts w:hint="eastAsia" w:ascii="宋体" w:hAnsi="宋体"/>
          <w:sz w:val="28"/>
        </w:rPr>
        <w:t>因立体交叉作业</w:t>
      </w:r>
      <w:r>
        <w:rPr>
          <w:rFonts w:ascii="宋体" w:hAnsi="宋体"/>
          <w:sz w:val="28"/>
        </w:rPr>
        <w:t>,</w:t>
      </w:r>
      <w:r>
        <w:rPr>
          <w:rFonts w:hint="eastAsia" w:ascii="宋体" w:hAnsi="宋体"/>
          <w:sz w:val="28"/>
        </w:rPr>
        <w:t>脚手架被施工的起重物体等突然撞击时</w:t>
      </w:r>
      <w:r>
        <w:rPr>
          <w:rFonts w:ascii="宋体" w:hAnsi="宋体"/>
          <w:sz w:val="28"/>
        </w:rPr>
        <w:t>,</w:t>
      </w:r>
      <w:r>
        <w:rPr>
          <w:rFonts w:hint="eastAsia" w:ascii="宋体" w:hAnsi="宋体"/>
          <w:sz w:val="28"/>
        </w:rPr>
        <w:t>容易发生坠落。</w:t>
      </w:r>
    </w:p>
    <w:p w14:paraId="0310E5DD">
      <w:pPr>
        <w:pStyle w:val="11"/>
        <w:ind w:firstLine="600"/>
        <w:rPr>
          <w:rFonts w:ascii="宋体" w:hAnsi="宋体"/>
          <w:sz w:val="28"/>
        </w:rPr>
      </w:pPr>
      <w:r>
        <w:rPr>
          <w:rFonts w:hint="eastAsia" w:ascii="宋体" w:hAnsi="宋体"/>
          <w:sz w:val="28"/>
        </w:rPr>
        <w:t>6.高空从事电气焊作业时</w:t>
      </w:r>
      <w:r>
        <w:rPr>
          <w:rFonts w:ascii="宋体" w:hAnsi="宋体"/>
          <w:sz w:val="28"/>
        </w:rPr>
        <w:t>,</w:t>
      </w:r>
      <w:r>
        <w:rPr>
          <w:rFonts w:hint="eastAsia" w:ascii="宋体" w:hAnsi="宋体"/>
          <w:sz w:val="28"/>
        </w:rPr>
        <w:t>周围环境未处理或交叉作业</w:t>
      </w:r>
      <w:r>
        <w:rPr>
          <w:rFonts w:ascii="宋体" w:hAnsi="宋体"/>
          <w:sz w:val="28"/>
        </w:rPr>
        <w:t>,</w:t>
      </w:r>
      <w:r>
        <w:rPr>
          <w:rFonts w:hint="eastAsia" w:ascii="宋体" w:hAnsi="宋体"/>
          <w:sz w:val="28"/>
        </w:rPr>
        <w:t>监护和处理不利时</w:t>
      </w:r>
      <w:r>
        <w:rPr>
          <w:rFonts w:ascii="宋体" w:hAnsi="宋体"/>
          <w:sz w:val="28"/>
        </w:rPr>
        <w:t>,</w:t>
      </w:r>
      <w:r>
        <w:rPr>
          <w:rFonts w:hint="eastAsia" w:ascii="宋体" w:hAnsi="宋体"/>
          <w:sz w:val="28"/>
        </w:rPr>
        <w:t>极容易发生火灾及人身伤害事故。</w:t>
      </w:r>
    </w:p>
    <w:p w14:paraId="09332C2E">
      <w:pPr>
        <w:pStyle w:val="11"/>
        <w:ind w:firstLine="600"/>
        <w:rPr>
          <w:rFonts w:ascii="宋体" w:hAnsi="宋体"/>
          <w:sz w:val="28"/>
        </w:rPr>
      </w:pPr>
      <w:r>
        <w:rPr>
          <w:rFonts w:hint="eastAsia" w:ascii="宋体" w:hAnsi="宋体"/>
          <w:sz w:val="28"/>
        </w:rPr>
        <w:t>7.使用的脚手架、挂蓝、平台无防护栏杆</w:t>
      </w:r>
      <w:r>
        <w:rPr>
          <w:rFonts w:ascii="宋体" w:hAnsi="宋体"/>
          <w:sz w:val="28"/>
        </w:rPr>
        <w:t>,</w:t>
      </w:r>
      <w:r>
        <w:rPr>
          <w:rFonts w:hint="eastAsia" w:ascii="宋体" w:hAnsi="宋体"/>
          <w:sz w:val="28"/>
        </w:rPr>
        <w:t>或挂蓝的绳索、梯子有缺陷</w:t>
      </w:r>
      <w:r>
        <w:rPr>
          <w:rFonts w:ascii="宋体" w:hAnsi="宋体"/>
          <w:sz w:val="28"/>
        </w:rPr>
        <w:t>,</w:t>
      </w:r>
      <w:r>
        <w:rPr>
          <w:rFonts w:hint="eastAsia" w:ascii="宋体" w:hAnsi="宋体"/>
          <w:sz w:val="28"/>
        </w:rPr>
        <w:t>绳索负荷不够</w:t>
      </w:r>
      <w:r>
        <w:rPr>
          <w:rFonts w:ascii="宋体" w:hAnsi="宋体"/>
          <w:sz w:val="28"/>
        </w:rPr>
        <w:t>,</w:t>
      </w:r>
      <w:r>
        <w:rPr>
          <w:rFonts w:hint="eastAsia" w:ascii="宋体" w:hAnsi="宋体"/>
          <w:sz w:val="28"/>
        </w:rPr>
        <w:t>容易发生坠落。</w:t>
      </w:r>
    </w:p>
    <w:p w14:paraId="7355E1DA">
      <w:pPr>
        <w:pStyle w:val="11"/>
        <w:ind w:firstLine="600"/>
        <w:rPr>
          <w:rFonts w:ascii="宋体" w:hAnsi="宋体"/>
          <w:sz w:val="28"/>
        </w:rPr>
      </w:pPr>
      <w:r>
        <w:rPr>
          <w:rFonts w:hint="eastAsia" w:ascii="宋体" w:hAnsi="宋体"/>
          <w:sz w:val="28"/>
        </w:rPr>
        <w:t>8.使用的安全带、安全网、</w:t>
      </w:r>
      <w:r>
        <w:fldChar w:fldCharType="begin"/>
      </w:r>
      <w:r>
        <w:instrText xml:space="preserve"> HYPERLINK "https://www.baidu.com/s?wd=%E5%AE%89%E5%85%A8%E5%B8%BD&amp;tn=44039180_cpr&amp;fenlei=mv6quAkxTZn0IZRqIHckPjm4nH00T1YzryN9m1fsnWFBPvFWnWTY0ZwV5Hcvrjm3rH6sPfKWUMw85HfYnjn4nH6sgvPsT6KdThsqpZwYTjCEQLGCpyw9Uz4Bmy-bIi4WUvYETgN-TLwGUv3EPHRdPWDvrHfvnjDsPWnzPWDz"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安全帽</w:t>
      </w:r>
      <w:r>
        <w:rPr>
          <w:rFonts w:hint="eastAsia" w:ascii="宋体" w:hAnsi="宋体"/>
          <w:sz w:val="28"/>
        </w:rPr>
        <w:fldChar w:fldCharType="end"/>
      </w:r>
      <w:r>
        <w:rPr>
          <w:rFonts w:hint="eastAsia" w:ascii="宋体" w:hAnsi="宋体"/>
          <w:sz w:val="28"/>
        </w:rPr>
        <w:t>等防护器材缺陷。</w:t>
      </w:r>
    </w:p>
    <w:p w14:paraId="2340791B">
      <w:pPr>
        <w:pStyle w:val="11"/>
        <w:ind w:firstLine="600"/>
        <w:rPr>
          <w:rFonts w:ascii="宋体" w:hAnsi="宋体"/>
          <w:sz w:val="28"/>
        </w:rPr>
      </w:pPr>
      <w:r>
        <w:rPr>
          <w:rFonts w:hint="eastAsia" w:ascii="宋体" w:hAnsi="宋体"/>
          <w:sz w:val="28"/>
        </w:rPr>
        <w:t>9.使用的工具未放置在工具袋内或违规直接向上抛工具或材料</w:t>
      </w:r>
      <w:r>
        <w:rPr>
          <w:rFonts w:ascii="宋体" w:hAnsi="宋体"/>
          <w:sz w:val="28"/>
        </w:rPr>
        <w:t>,</w:t>
      </w:r>
      <w:r>
        <w:rPr>
          <w:rFonts w:hint="eastAsia" w:ascii="宋体" w:hAnsi="宋体"/>
          <w:sz w:val="28"/>
        </w:rPr>
        <w:t>施工所使用的材料未固定好</w:t>
      </w:r>
      <w:r>
        <w:rPr>
          <w:rFonts w:ascii="宋体" w:hAnsi="宋体"/>
          <w:sz w:val="28"/>
        </w:rPr>
        <w:t>,</w:t>
      </w:r>
      <w:r>
        <w:rPr>
          <w:rFonts w:hint="eastAsia" w:ascii="宋体" w:hAnsi="宋体"/>
          <w:sz w:val="28"/>
        </w:rPr>
        <w:t>以及施工场地周围未设置警戒等</w:t>
      </w:r>
      <w:r>
        <w:rPr>
          <w:rFonts w:ascii="宋体" w:hAnsi="宋体"/>
          <w:sz w:val="28"/>
        </w:rPr>
        <w:t>,</w:t>
      </w:r>
      <w:r>
        <w:rPr>
          <w:rFonts w:hint="eastAsia" w:ascii="宋体" w:hAnsi="宋体"/>
          <w:sz w:val="28"/>
        </w:rPr>
        <w:t>容易发生物体打击。</w:t>
      </w:r>
    </w:p>
    <w:p w14:paraId="124AC35B">
      <w:pPr>
        <w:pStyle w:val="4"/>
        <w:spacing w:afterLines="100" w:line="500" w:lineRule="exact"/>
        <w:rPr>
          <w:rFonts w:ascii="黑体" w:hAnsi="宋体"/>
          <w:kern w:val="3"/>
          <w:sz w:val="28"/>
          <w:szCs w:val="28"/>
        </w:rPr>
      </w:pPr>
      <w:bookmarkStart w:id="317" w:name="_Toc489617613"/>
      <w:bookmarkStart w:id="318" w:name="_Toc71894916"/>
      <w:r>
        <w:rPr>
          <w:rFonts w:hint="eastAsia" w:ascii="黑体" w:hAnsi="宋体"/>
          <w:kern w:val="3"/>
          <w:sz w:val="28"/>
          <w:szCs w:val="28"/>
        </w:rPr>
        <w:t>3.4.4  临时用电作业危险性分析</w:t>
      </w:r>
      <w:bookmarkEnd w:id="317"/>
      <w:bookmarkEnd w:id="318"/>
    </w:p>
    <w:p w14:paraId="74D7CCC8">
      <w:pPr>
        <w:pStyle w:val="11"/>
        <w:ind w:firstLine="600"/>
        <w:rPr>
          <w:rFonts w:ascii="宋体" w:hAnsi="宋体"/>
          <w:sz w:val="28"/>
        </w:rPr>
      </w:pPr>
      <w:r>
        <w:rPr>
          <w:rFonts w:hint="eastAsia" w:ascii="宋体" w:hAnsi="宋体"/>
          <w:sz w:val="28"/>
        </w:rPr>
        <w:t>临时用电是指正式运行的电源上所接的非永久性用电。</w:t>
      </w:r>
    </w:p>
    <w:p w14:paraId="4777925A">
      <w:pPr>
        <w:pStyle w:val="11"/>
        <w:ind w:firstLine="600"/>
        <w:rPr>
          <w:rFonts w:ascii="宋体" w:hAnsi="宋体"/>
          <w:sz w:val="28"/>
        </w:rPr>
      </w:pPr>
      <w:r>
        <w:rPr>
          <w:rFonts w:hint="eastAsia" w:ascii="宋体" w:hAnsi="宋体"/>
          <w:sz w:val="28"/>
        </w:rPr>
        <w:t>1.临时用电前，工器具、防护器具准备不充分、不合适；影响临时用电作业、作业人员作业时因防护不到位可能导致触电。</w:t>
      </w:r>
    </w:p>
    <w:p w14:paraId="4EE3D153">
      <w:pPr>
        <w:pStyle w:val="11"/>
        <w:ind w:firstLine="600"/>
        <w:rPr>
          <w:rFonts w:ascii="宋体" w:hAnsi="宋体"/>
          <w:sz w:val="28"/>
        </w:rPr>
      </w:pPr>
      <w:r>
        <w:rPr>
          <w:rFonts w:hint="eastAsia" w:ascii="宋体" w:hAnsi="宋体"/>
          <w:sz w:val="28"/>
        </w:rPr>
        <w:t>2.未办理临时用电作业证，违章作业，未落实防范措施；造成人员触电。</w:t>
      </w:r>
    </w:p>
    <w:p w14:paraId="15FECFE6">
      <w:pPr>
        <w:pStyle w:val="11"/>
        <w:ind w:firstLine="600"/>
        <w:rPr>
          <w:rFonts w:ascii="宋体" w:hAnsi="宋体"/>
          <w:sz w:val="28"/>
        </w:rPr>
      </w:pPr>
      <w:r>
        <w:rPr>
          <w:rFonts w:hint="eastAsia" w:ascii="宋体" w:hAnsi="宋体"/>
          <w:sz w:val="28"/>
        </w:rPr>
        <w:t>3.操作员无电工证，未经过专业知识培训；造成人员触电。</w:t>
      </w:r>
    </w:p>
    <w:p w14:paraId="34C5033C">
      <w:pPr>
        <w:pStyle w:val="11"/>
        <w:ind w:firstLine="600"/>
        <w:rPr>
          <w:rFonts w:ascii="宋体" w:hAnsi="宋体"/>
          <w:sz w:val="28"/>
        </w:rPr>
      </w:pPr>
      <w:r>
        <w:rPr>
          <w:rFonts w:hint="eastAsia" w:ascii="宋体" w:hAnsi="宋体"/>
          <w:sz w:val="28"/>
        </w:rPr>
        <w:t>4.防爆场所电气元件和线路未达到相应的防爆等级要求，临时用电线路绝缘性差，未安装漏电保护器，监护人员不到位或未坚守岗位，作业人员未做好个人防护；造成人员触电。</w:t>
      </w:r>
    </w:p>
    <w:p w14:paraId="37639142">
      <w:pPr>
        <w:pStyle w:val="11"/>
        <w:ind w:firstLine="600"/>
        <w:rPr>
          <w:rFonts w:ascii="宋体" w:hAnsi="宋体"/>
          <w:sz w:val="28"/>
        </w:rPr>
      </w:pPr>
      <w:r>
        <w:rPr>
          <w:rFonts w:hint="eastAsia" w:ascii="宋体" w:hAnsi="宋体"/>
          <w:sz w:val="28"/>
        </w:rPr>
        <w:t>5.施工完毕未及时拆除临时用电设备、电源线，忘记关闭电源开关；人员误触电，导致受伤或死亡。</w:t>
      </w:r>
    </w:p>
    <w:p w14:paraId="200705CF">
      <w:pPr>
        <w:pStyle w:val="4"/>
        <w:spacing w:afterLines="100" w:line="500" w:lineRule="exact"/>
        <w:jc w:val="center"/>
        <w:rPr>
          <w:rFonts w:ascii="楷体_GB2312" w:hAnsi="宋体" w:eastAsia="楷体_GB2312"/>
          <w:kern w:val="3"/>
        </w:rPr>
      </w:pPr>
      <w:bookmarkStart w:id="319" w:name="_Toc355685140"/>
      <w:bookmarkStart w:id="320" w:name="_Toc71894917"/>
      <w:r>
        <w:rPr>
          <w:rFonts w:hint="eastAsia" w:ascii="楷体_GB2312" w:hAnsi="宋体" w:eastAsia="楷体_GB2312"/>
          <w:kern w:val="3"/>
        </w:rPr>
        <w:t>3</w:t>
      </w:r>
      <w:r>
        <w:rPr>
          <w:rFonts w:ascii="楷体_GB2312" w:hAnsi="宋体" w:eastAsia="楷体_GB2312"/>
          <w:kern w:val="3"/>
        </w:rPr>
        <w:t>.</w:t>
      </w:r>
      <w:r>
        <w:rPr>
          <w:rFonts w:hint="eastAsia" w:ascii="楷体_GB2312" w:hAnsi="宋体" w:eastAsia="楷体_GB2312"/>
          <w:kern w:val="3"/>
        </w:rPr>
        <w:t>5主要危险有害因素的分布及危害</w:t>
      </w:r>
      <w:bookmarkEnd w:id="319"/>
      <w:bookmarkEnd w:id="320"/>
    </w:p>
    <w:p w14:paraId="6B2588E8">
      <w:pPr>
        <w:pStyle w:val="11"/>
        <w:spacing w:line="500" w:lineRule="exact"/>
        <w:ind w:firstLine="600"/>
        <w:rPr>
          <w:rFonts w:ascii="宋体" w:hAnsi="宋体"/>
          <w:sz w:val="28"/>
        </w:rPr>
      </w:pPr>
      <w:r>
        <w:rPr>
          <w:rFonts w:hint="eastAsia" w:ascii="宋体" w:hAnsi="宋体"/>
          <w:sz w:val="28"/>
        </w:rPr>
        <w:t>通过以上对该加油站经营成品油的过程中存在的危险、有害因素的辨识与分析，得知在该过程中主要存在火灾、爆炸、触电、中毒和窒息、车辆伤害、高处坠落、物体打击、起重伤害等危险，从而可能引起财产损失、人员伤亡、环境污染等危害，危险因素主要产生于下述环节：</w:t>
      </w:r>
    </w:p>
    <w:p w14:paraId="52FD4293">
      <w:pPr>
        <w:pStyle w:val="11"/>
        <w:spacing w:line="500" w:lineRule="exact"/>
        <w:ind w:firstLine="600"/>
        <w:rPr>
          <w:rFonts w:ascii="宋体" w:hAnsi="宋体"/>
          <w:sz w:val="28"/>
        </w:rPr>
      </w:pPr>
      <w:r>
        <w:rPr>
          <w:rFonts w:hint="eastAsia" w:ascii="宋体" w:hAnsi="宋体"/>
          <w:sz w:val="28"/>
        </w:rPr>
        <w:t>1.硬件危险因素主要存于下列环节中：</w:t>
      </w:r>
    </w:p>
    <w:p w14:paraId="13044D37">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汽油输送管的日常检修与安全使用；</w:t>
      </w:r>
    </w:p>
    <w:p w14:paraId="79877329">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泵的日常检修与安全使用；</w:t>
      </w:r>
    </w:p>
    <w:p w14:paraId="76578C00">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储罐的日常检修与安全使用；</w:t>
      </w:r>
    </w:p>
    <w:p w14:paraId="665EA537">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电气设备的日常检修与安全使用；</w:t>
      </w:r>
    </w:p>
    <w:p w14:paraId="02BF8DC2">
      <w:pPr>
        <w:pStyle w:val="11"/>
        <w:spacing w:line="500" w:lineRule="exact"/>
        <w:ind w:firstLine="600"/>
        <w:rPr>
          <w:rFonts w:ascii="宋体" w:hAnsi="宋体"/>
          <w:sz w:val="28"/>
        </w:rPr>
      </w:pPr>
      <w:r>
        <w:rPr>
          <w:rFonts w:hint="eastAsia" w:ascii="宋体" w:hAnsi="宋体"/>
          <w:sz w:val="28"/>
          <w:szCs w:val="28"/>
        </w:rPr>
        <w:t>5）</w:t>
      </w:r>
      <w:r>
        <w:rPr>
          <w:rFonts w:hint="eastAsia" w:ascii="宋体" w:hAnsi="宋体"/>
          <w:sz w:val="28"/>
        </w:rPr>
        <w:t>储罐、泵的阀门的日常检修与安全使用；</w:t>
      </w:r>
    </w:p>
    <w:p w14:paraId="5FF59420">
      <w:pPr>
        <w:pStyle w:val="11"/>
        <w:spacing w:line="500" w:lineRule="exact"/>
        <w:ind w:firstLine="600"/>
        <w:rPr>
          <w:rFonts w:ascii="宋体" w:hAnsi="宋体"/>
          <w:sz w:val="28"/>
        </w:rPr>
      </w:pPr>
      <w:r>
        <w:rPr>
          <w:rFonts w:hint="eastAsia" w:ascii="宋体" w:hAnsi="宋体"/>
          <w:sz w:val="28"/>
          <w:szCs w:val="28"/>
        </w:rPr>
        <w:t>6）</w:t>
      </w:r>
      <w:r>
        <w:rPr>
          <w:rFonts w:hint="eastAsia" w:ascii="宋体" w:hAnsi="宋体"/>
          <w:sz w:val="28"/>
        </w:rPr>
        <w:t>消防设施的配置、日常检修与安全使用；</w:t>
      </w:r>
    </w:p>
    <w:p w14:paraId="6F463D4B">
      <w:pPr>
        <w:pStyle w:val="11"/>
        <w:spacing w:line="500" w:lineRule="exact"/>
        <w:ind w:firstLine="600"/>
        <w:rPr>
          <w:rFonts w:ascii="宋体" w:hAnsi="宋体"/>
          <w:sz w:val="28"/>
        </w:rPr>
      </w:pPr>
      <w:r>
        <w:rPr>
          <w:rFonts w:hint="eastAsia" w:ascii="宋体" w:hAnsi="宋体"/>
          <w:sz w:val="28"/>
          <w:szCs w:val="28"/>
        </w:rPr>
        <w:t>7）</w:t>
      </w:r>
      <w:r>
        <w:rPr>
          <w:rFonts w:hint="eastAsia" w:ascii="宋体" w:hAnsi="宋体"/>
          <w:sz w:val="28"/>
        </w:rPr>
        <w:t>防雷、防静电设施的日常检修与安全使用；</w:t>
      </w:r>
    </w:p>
    <w:p w14:paraId="5B73D12B">
      <w:pPr>
        <w:pStyle w:val="11"/>
        <w:spacing w:line="500" w:lineRule="exact"/>
        <w:ind w:firstLine="600"/>
        <w:rPr>
          <w:rFonts w:ascii="宋体" w:hAnsi="宋体"/>
          <w:sz w:val="28"/>
        </w:rPr>
      </w:pPr>
      <w:r>
        <w:rPr>
          <w:rFonts w:hint="eastAsia" w:ascii="宋体" w:hAnsi="宋体"/>
          <w:sz w:val="28"/>
          <w:szCs w:val="28"/>
        </w:rPr>
        <w:t>8）</w:t>
      </w:r>
      <w:r>
        <w:rPr>
          <w:rFonts w:hint="eastAsia" w:ascii="宋体" w:hAnsi="宋体"/>
          <w:sz w:val="28"/>
        </w:rPr>
        <w:t>劳动防护用品的配置及安全使用。</w:t>
      </w:r>
    </w:p>
    <w:p w14:paraId="290CF09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4硬件危险因素主要分析表</w:t>
      </w:r>
    </w:p>
    <w:tbl>
      <w:tblPr>
        <w:tblStyle w:val="33"/>
        <w:tblW w:w="8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990"/>
        <w:gridCol w:w="4571"/>
        <w:gridCol w:w="2268"/>
      </w:tblGrid>
      <w:tr w14:paraId="3A378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bottom w:val="single" w:color="auto" w:sz="4" w:space="0"/>
              <w:right w:val="single" w:color="auto" w:sz="4" w:space="0"/>
            </w:tcBorders>
          </w:tcPr>
          <w:p w14:paraId="3A0FAF5C">
            <w:pPr>
              <w:adjustRightInd w:val="0"/>
              <w:snapToGrid w:val="0"/>
              <w:spacing w:line="360" w:lineRule="auto"/>
              <w:rPr>
                <w:rFonts w:ascii="宋体" w:hAnsi="宋体"/>
                <w:snapToGrid w:val="0"/>
                <w:kern w:val="0"/>
                <w:szCs w:val="21"/>
              </w:rPr>
            </w:pPr>
            <w:r>
              <w:rPr>
                <w:rFonts w:hint="eastAsia" w:ascii="宋体" w:hAnsi="宋体"/>
                <w:snapToGrid w:val="0"/>
                <w:kern w:val="0"/>
                <w:szCs w:val="21"/>
              </w:rPr>
              <w:t>序号</w:t>
            </w:r>
          </w:p>
        </w:tc>
        <w:tc>
          <w:tcPr>
            <w:tcW w:w="990" w:type="dxa"/>
            <w:tcBorders>
              <w:left w:val="single" w:color="auto" w:sz="4" w:space="0"/>
              <w:bottom w:val="single" w:color="auto" w:sz="4" w:space="0"/>
              <w:right w:val="single" w:color="auto" w:sz="4" w:space="0"/>
            </w:tcBorders>
          </w:tcPr>
          <w:p w14:paraId="485DC45A">
            <w:pPr>
              <w:adjustRightInd w:val="0"/>
              <w:snapToGrid w:val="0"/>
              <w:spacing w:line="360" w:lineRule="auto"/>
              <w:rPr>
                <w:rFonts w:ascii="宋体" w:hAnsi="宋体"/>
                <w:snapToGrid w:val="0"/>
                <w:kern w:val="0"/>
                <w:szCs w:val="21"/>
              </w:rPr>
            </w:pPr>
            <w:r>
              <w:rPr>
                <w:rFonts w:hint="eastAsia" w:ascii="宋体" w:hAnsi="宋体"/>
                <w:snapToGrid w:val="0"/>
                <w:kern w:val="0"/>
                <w:szCs w:val="21"/>
              </w:rPr>
              <w:t>主要硬件环节</w:t>
            </w:r>
          </w:p>
        </w:tc>
        <w:tc>
          <w:tcPr>
            <w:tcW w:w="4571" w:type="dxa"/>
            <w:tcBorders>
              <w:left w:val="single" w:color="auto" w:sz="4" w:space="0"/>
              <w:bottom w:val="single" w:color="auto" w:sz="4" w:space="0"/>
              <w:right w:val="single" w:color="auto" w:sz="4" w:space="0"/>
            </w:tcBorders>
          </w:tcPr>
          <w:p w14:paraId="6532327D">
            <w:pPr>
              <w:adjustRightInd w:val="0"/>
              <w:snapToGrid w:val="0"/>
              <w:spacing w:line="360" w:lineRule="auto"/>
              <w:rPr>
                <w:rFonts w:ascii="宋体" w:hAnsi="宋体"/>
                <w:snapToGrid w:val="0"/>
                <w:kern w:val="0"/>
                <w:szCs w:val="21"/>
              </w:rPr>
            </w:pPr>
          </w:p>
          <w:p w14:paraId="01FCB058">
            <w:pPr>
              <w:adjustRightInd w:val="0"/>
              <w:snapToGrid w:val="0"/>
              <w:spacing w:line="360" w:lineRule="auto"/>
              <w:rPr>
                <w:rFonts w:ascii="宋体" w:hAnsi="宋体"/>
                <w:snapToGrid w:val="0"/>
                <w:kern w:val="0"/>
                <w:szCs w:val="21"/>
              </w:rPr>
            </w:pPr>
            <w:r>
              <w:rPr>
                <w:rFonts w:hint="eastAsia" w:ascii="宋体" w:hAnsi="宋体"/>
                <w:snapToGrid w:val="0"/>
                <w:kern w:val="0"/>
                <w:szCs w:val="21"/>
              </w:rPr>
              <w:t>产生危险的原因</w:t>
            </w:r>
          </w:p>
        </w:tc>
        <w:tc>
          <w:tcPr>
            <w:tcW w:w="2268" w:type="dxa"/>
            <w:tcBorders>
              <w:left w:val="single" w:color="auto" w:sz="4" w:space="0"/>
              <w:bottom w:val="single" w:color="auto" w:sz="4" w:space="0"/>
            </w:tcBorders>
          </w:tcPr>
          <w:p w14:paraId="7675AD4C">
            <w:pPr>
              <w:adjustRightInd w:val="0"/>
              <w:snapToGrid w:val="0"/>
              <w:spacing w:line="360" w:lineRule="auto"/>
              <w:rPr>
                <w:rFonts w:ascii="宋体" w:hAnsi="宋体"/>
                <w:snapToGrid w:val="0"/>
                <w:kern w:val="0"/>
                <w:szCs w:val="21"/>
              </w:rPr>
            </w:pPr>
          </w:p>
          <w:p w14:paraId="0676B894">
            <w:pPr>
              <w:adjustRightInd w:val="0"/>
              <w:snapToGrid w:val="0"/>
              <w:spacing w:line="360" w:lineRule="auto"/>
              <w:rPr>
                <w:rFonts w:ascii="宋体" w:hAnsi="宋体"/>
                <w:snapToGrid w:val="0"/>
                <w:kern w:val="0"/>
                <w:szCs w:val="21"/>
              </w:rPr>
            </w:pPr>
            <w:r>
              <w:rPr>
                <w:rFonts w:hint="eastAsia" w:ascii="宋体" w:hAnsi="宋体"/>
                <w:snapToGrid w:val="0"/>
                <w:kern w:val="0"/>
                <w:szCs w:val="21"/>
              </w:rPr>
              <w:t>可能产生的危害</w:t>
            </w:r>
          </w:p>
        </w:tc>
      </w:tr>
      <w:tr w14:paraId="19983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48122794">
            <w:pPr>
              <w:adjustRightInd w:val="0"/>
              <w:snapToGrid w:val="0"/>
              <w:spacing w:line="360" w:lineRule="auto"/>
              <w:rPr>
                <w:rFonts w:ascii="宋体" w:hAnsi="宋体"/>
                <w:snapToGrid w:val="0"/>
                <w:kern w:val="0"/>
                <w:szCs w:val="21"/>
              </w:rPr>
            </w:pPr>
            <w:r>
              <w:rPr>
                <w:rFonts w:ascii="宋体" w:hAnsi="宋体"/>
                <w:snapToGrid w:val="0"/>
                <w:kern w:val="0"/>
                <w:szCs w:val="21"/>
              </w:rPr>
              <w:t>1</w:t>
            </w:r>
          </w:p>
        </w:tc>
        <w:tc>
          <w:tcPr>
            <w:tcW w:w="990" w:type="dxa"/>
            <w:tcBorders>
              <w:top w:val="single" w:color="auto" w:sz="4" w:space="0"/>
              <w:left w:val="single" w:color="auto" w:sz="4" w:space="0"/>
              <w:bottom w:val="single" w:color="auto" w:sz="4" w:space="0"/>
              <w:right w:val="single" w:color="auto" w:sz="4" w:space="0"/>
            </w:tcBorders>
          </w:tcPr>
          <w:p w14:paraId="25E5EAE7">
            <w:pPr>
              <w:adjustRightInd w:val="0"/>
              <w:snapToGrid w:val="0"/>
              <w:spacing w:line="360" w:lineRule="auto"/>
              <w:rPr>
                <w:rFonts w:ascii="宋体" w:hAnsi="宋体"/>
                <w:szCs w:val="21"/>
              </w:rPr>
            </w:pPr>
          </w:p>
          <w:p w14:paraId="6B53F23D">
            <w:pPr>
              <w:adjustRightInd w:val="0"/>
              <w:snapToGrid w:val="0"/>
              <w:spacing w:line="360" w:lineRule="auto"/>
              <w:rPr>
                <w:rFonts w:ascii="宋体" w:hAnsi="宋体"/>
                <w:szCs w:val="21"/>
              </w:rPr>
            </w:pPr>
            <w:r>
              <w:rPr>
                <w:rFonts w:hint="eastAsia" w:ascii="宋体" w:hAnsi="宋体"/>
                <w:szCs w:val="21"/>
              </w:rPr>
              <w:t>油</w:t>
            </w:r>
          </w:p>
          <w:p w14:paraId="26D2DD8E">
            <w:pPr>
              <w:adjustRightInd w:val="0"/>
              <w:snapToGrid w:val="0"/>
              <w:spacing w:line="360" w:lineRule="auto"/>
              <w:rPr>
                <w:rFonts w:ascii="宋体" w:hAnsi="宋体"/>
                <w:szCs w:val="21"/>
              </w:rPr>
            </w:pPr>
            <w:r>
              <w:rPr>
                <w:rFonts w:hint="eastAsia" w:ascii="宋体" w:hAnsi="宋体"/>
                <w:szCs w:val="21"/>
              </w:rPr>
              <w:t>罐</w:t>
            </w:r>
          </w:p>
          <w:p w14:paraId="119BA581">
            <w:pPr>
              <w:adjustRightInd w:val="0"/>
              <w:snapToGrid w:val="0"/>
              <w:spacing w:line="360" w:lineRule="auto"/>
              <w:rPr>
                <w:rFonts w:ascii="宋体" w:hAnsi="宋体"/>
                <w:szCs w:val="21"/>
              </w:rPr>
            </w:pPr>
            <w:r>
              <w:rPr>
                <w:rFonts w:hint="eastAsia" w:ascii="宋体" w:hAnsi="宋体"/>
                <w:szCs w:val="21"/>
              </w:rPr>
              <w:t>及</w:t>
            </w:r>
          </w:p>
          <w:p w14:paraId="18106105">
            <w:pPr>
              <w:adjustRightInd w:val="0"/>
              <w:snapToGrid w:val="0"/>
              <w:spacing w:line="360" w:lineRule="auto"/>
              <w:rPr>
                <w:rFonts w:ascii="宋体" w:hAnsi="宋体"/>
                <w:szCs w:val="21"/>
              </w:rPr>
            </w:pPr>
            <w:r>
              <w:rPr>
                <w:rFonts w:hint="eastAsia" w:ascii="宋体" w:hAnsi="宋体"/>
                <w:szCs w:val="21"/>
              </w:rPr>
              <w:t>附</w:t>
            </w:r>
          </w:p>
          <w:p w14:paraId="51EF4CA9">
            <w:pPr>
              <w:adjustRightInd w:val="0"/>
              <w:snapToGrid w:val="0"/>
              <w:spacing w:line="360" w:lineRule="auto"/>
              <w:rPr>
                <w:rFonts w:ascii="宋体" w:hAnsi="宋体"/>
                <w:snapToGrid w:val="0"/>
                <w:kern w:val="0"/>
                <w:szCs w:val="21"/>
              </w:rPr>
            </w:pPr>
            <w:r>
              <w:rPr>
                <w:rFonts w:hint="eastAsia" w:ascii="宋体" w:hAnsi="宋体"/>
                <w:szCs w:val="21"/>
              </w:rPr>
              <w:t>件</w:t>
            </w:r>
          </w:p>
        </w:tc>
        <w:tc>
          <w:tcPr>
            <w:tcW w:w="4571" w:type="dxa"/>
            <w:tcBorders>
              <w:top w:val="single" w:color="auto" w:sz="4" w:space="0"/>
              <w:left w:val="single" w:color="auto" w:sz="4" w:space="0"/>
              <w:bottom w:val="single" w:color="auto" w:sz="4" w:space="0"/>
              <w:right w:val="single" w:color="auto" w:sz="4" w:space="0"/>
            </w:tcBorders>
          </w:tcPr>
          <w:p w14:paraId="4A0DA173">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）没有定期检测油罐倾斜和下沉状况；（</w:t>
            </w:r>
            <w:r>
              <w:rPr>
                <w:rFonts w:ascii="宋体" w:hAnsi="宋体"/>
                <w:szCs w:val="21"/>
              </w:rPr>
              <w:t>2</w:t>
            </w:r>
            <w:r>
              <w:rPr>
                <w:rFonts w:hint="eastAsia" w:ascii="宋体" w:hAnsi="宋体"/>
                <w:szCs w:val="21"/>
              </w:rPr>
              <w:t>）人孔盖螺栓不齐全</w:t>
            </w:r>
            <w:r>
              <w:rPr>
                <w:rFonts w:ascii="宋体" w:hAnsi="宋体"/>
                <w:szCs w:val="21"/>
              </w:rPr>
              <w:t>,</w:t>
            </w:r>
            <w:r>
              <w:rPr>
                <w:rFonts w:hint="eastAsia" w:ascii="宋体" w:hAnsi="宋体"/>
                <w:szCs w:val="21"/>
              </w:rPr>
              <w:t>密封性不良；（</w:t>
            </w:r>
            <w:r>
              <w:rPr>
                <w:rFonts w:ascii="宋体" w:hAnsi="宋体"/>
                <w:szCs w:val="21"/>
              </w:rPr>
              <w:t>3</w:t>
            </w:r>
            <w:r>
              <w:rPr>
                <w:rFonts w:hint="eastAsia" w:ascii="宋体" w:hAnsi="宋体"/>
                <w:szCs w:val="21"/>
              </w:rPr>
              <w:t>）量油孔破损，螺帽松动；（</w:t>
            </w:r>
            <w:r>
              <w:rPr>
                <w:rFonts w:ascii="宋体" w:hAnsi="宋体"/>
                <w:szCs w:val="21"/>
              </w:rPr>
              <w:t>4</w:t>
            </w:r>
            <w:r>
              <w:rPr>
                <w:rFonts w:hint="eastAsia" w:ascii="宋体" w:hAnsi="宋体"/>
                <w:szCs w:val="21"/>
              </w:rPr>
              <w:t>）量油孔盖未上锁；（</w:t>
            </w:r>
            <w:r>
              <w:rPr>
                <w:rFonts w:ascii="宋体" w:hAnsi="宋体"/>
                <w:szCs w:val="21"/>
              </w:rPr>
              <w:t>5</w:t>
            </w:r>
            <w:r>
              <w:rPr>
                <w:rFonts w:hint="eastAsia" w:ascii="宋体" w:hAnsi="宋体"/>
                <w:szCs w:val="21"/>
              </w:rPr>
              <w:t>）量油孔的密封垫老化。螺帽旋转不灵活；（</w:t>
            </w:r>
            <w:r>
              <w:rPr>
                <w:rFonts w:ascii="宋体" w:hAnsi="宋体"/>
                <w:szCs w:val="21"/>
              </w:rPr>
              <w:t>6</w:t>
            </w:r>
            <w:r>
              <w:rPr>
                <w:rFonts w:hint="eastAsia" w:ascii="宋体" w:hAnsi="宋体"/>
                <w:szCs w:val="21"/>
              </w:rPr>
              <w:t>）通气管的阻火器不清洁畅通，有灰尘、堵塞、塌陷变形、锈蚀等现象；（</w:t>
            </w:r>
            <w:r>
              <w:rPr>
                <w:rFonts w:ascii="宋体" w:hAnsi="宋体"/>
                <w:szCs w:val="21"/>
              </w:rPr>
              <w:t>7</w:t>
            </w:r>
            <w:r>
              <w:rPr>
                <w:rFonts w:hint="eastAsia" w:ascii="宋体" w:hAnsi="宋体"/>
                <w:szCs w:val="21"/>
              </w:rPr>
              <w:t>）阀门阀杆的动密封和法兰静密封不严密且渗漏，阀门启闭不灵活，阀杆锈蚀，弯曲变形。阀门阀盖、阀体损伤和渗漏现象。（</w:t>
            </w:r>
            <w:r>
              <w:rPr>
                <w:rFonts w:ascii="宋体" w:hAnsi="宋体"/>
                <w:szCs w:val="21"/>
              </w:rPr>
              <w:t>8</w:t>
            </w:r>
            <w:r>
              <w:rPr>
                <w:rFonts w:hint="eastAsia" w:ascii="宋体" w:hAnsi="宋体"/>
                <w:szCs w:val="21"/>
              </w:rPr>
              <w:t>）卸车时用的卸油连通软管胶管老化，破裂；（</w:t>
            </w:r>
            <w:r>
              <w:rPr>
                <w:rFonts w:ascii="宋体" w:hAnsi="宋体"/>
                <w:szCs w:val="21"/>
              </w:rPr>
              <w:t>9</w:t>
            </w:r>
            <w:r>
              <w:rPr>
                <w:rFonts w:hint="eastAsia" w:ascii="宋体" w:hAnsi="宋体"/>
                <w:szCs w:val="21"/>
              </w:rPr>
              <w:t>）静电夹钳得不紧。</w:t>
            </w:r>
          </w:p>
        </w:tc>
        <w:tc>
          <w:tcPr>
            <w:tcW w:w="2268" w:type="dxa"/>
            <w:tcBorders>
              <w:top w:val="single" w:color="auto" w:sz="4" w:space="0"/>
              <w:left w:val="single" w:color="auto" w:sz="4" w:space="0"/>
              <w:bottom w:val="single" w:color="auto" w:sz="4" w:space="0"/>
            </w:tcBorders>
          </w:tcPr>
          <w:p w14:paraId="2613E5C1">
            <w:pPr>
              <w:adjustRightInd w:val="0"/>
              <w:snapToGrid w:val="0"/>
              <w:spacing w:line="360" w:lineRule="auto"/>
              <w:rPr>
                <w:rFonts w:ascii="宋体" w:hAnsi="宋体"/>
                <w:snapToGrid w:val="0"/>
                <w:kern w:val="0"/>
                <w:szCs w:val="21"/>
              </w:rPr>
            </w:pPr>
          </w:p>
          <w:p w14:paraId="7D369E75">
            <w:pPr>
              <w:adjustRightInd w:val="0"/>
              <w:snapToGrid w:val="0"/>
              <w:spacing w:line="360" w:lineRule="auto"/>
              <w:rPr>
                <w:rFonts w:ascii="宋体" w:hAnsi="宋体"/>
                <w:snapToGrid w:val="0"/>
                <w:kern w:val="0"/>
                <w:szCs w:val="21"/>
              </w:rPr>
            </w:pPr>
          </w:p>
          <w:p w14:paraId="78E12270">
            <w:pPr>
              <w:adjustRightInd w:val="0"/>
              <w:snapToGrid w:val="0"/>
              <w:spacing w:line="360" w:lineRule="auto"/>
              <w:rPr>
                <w:rFonts w:ascii="宋体" w:hAnsi="宋体"/>
                <w:snapToGrid w:val="0"/>
                <w:kern w:val="0"/>
                <w:szCs w:val="21"/>
              </w:rPr>
            </w:pPr>
            <w:r>
              <w:rPr>
                <w:rFonts w:hint="eastAsia" w:ascii="宋体" w:hAnsi="宋体"/>
                <w:snapToGrid w:val="0"/>
                <w:kern w:val="0"/>
                <w:szCs w:val="21"/>
              </w:rPr>
              <w:t>发生泄漏、火灾、爆炸等事故，造成人员伤亡、财产损失、环境污染</w:t>
            </w:r>
          </w:p>
        </w:tc>
      </w:tr>
      <w:tr w14:paraId="01898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2DB5019">
            <w:pPr>
              <w:adjustRightInd w:val="0"/>
              <w:snapToGrid w:val="0"/>
              <w:spacing w:line="360" w:lineRule="auto"/>
              <w:rPr>
                <w:rFonts w:ascii="宋体" w:hAnsi="宋体"/>
                <w:snapToGrid w:val="0"/>
                <w:kern w:val="0"/>
                <w:szCs w:val="21"/>
              </w:rPr>
            </w:pPr>
          </w:p>
          <w:p w14:paraId="74BFC4D5">
            <w:pPr>
              <w:adjustRightInd w:val="0"/>
              <w:snapToGrid w:val="0"/>
              <w:spacing w:line="360" w:lineRule="auto"/>
              <w:rPr>
                <w:rFonts w:ascii="宋体" w:hAnsi="宋体"/>
                <w:snapToGrid w:val="0"/>
                <w:kern w:val="0"/>
                <w:szCs w:val="21"/>
              </w:rPr>
            </w:pPr>
          </w:p>
          <w:p w14:paraId="1AB6BB0D">
            <w:pPr>
              <w:adjustRightInd w:val="0"/>
              <w:snapToGrid w:val="0"/>
              <w:spacing w:line="360" w:lineRule="auto"/>
              <w:rPr>
                <w:rFonts w:ascii="宋体" w:hAnsi="宋体"/>
                <w:snapToGrid w:val="0"/>
                <w:kern w:val="0"/>
                <w:szCs w:val="21"/>
              </w:rPr>
            </w:pPr>
          </w:p>
          <w:p w14:paraId="4C5C690B">
            <w:pPr>
              <w:adjustRightInd w:val="0"/>
              <w:snapToGrid w:val="0"/>
              <w:spacing w:line="360" w:lineRule="auto"/>
              <w:rPr>
                <w:rFonts w:ascii="宋体" w:hAnsi="宋体"/>
                <w:snapToGrid w:val="0"/>
                <w:kern w:val="0"/>
                <w:szCs w:val="21"/>
              </w:rPr>
            </w:pPr>
          </w:p>
          <w:p w14:paraId="081E6713">
            <w:pPr>
              <w:adjustRightInd w:val="0"/>
              <w:snapToGrid w:val="0"/>
              <w:spacing w:line="360" w:lineRule="auto"/>
              <w:rPr>
                <w:rFonts w:ascii="宋体" w:hAnsi="宋体"/>
                <w:snapToGrid w:val="0"/>
                <w:kern w:val="0"/>
                <w:szCs w:val="21"/>
              </w:rPr>
            </w:pPr>
          </w:p>
          <w:p w14:paraId="0806283E">
            <w:pPr>
              <w:adjustRightInd w:val="0"/>
              <w:snapToGrid w:val="0"/>
              <w:spacing w:line="360" w:lineRule="auto"/>
              <w:rPr>
                <w:rFonts w:ascii="宋体" w:hAnsi="宋体"/>
                <w:snapToGrid w:val="0"/>
                <w:kern w:val="0"/>
                <w:szCs w:val="21"/>
              </w:rPr>
            </w:pPr>
            <w:r>
              <w:rPr>
                <w:rFonts w:ascii="宋体" w:hAnsi="宋体"/>
                <w:snapToGrid w:val="0"/>
                <w:kern w:val="0"/>
                <w:szCs w:val="21"/>
              </w:rPr>
              <w:t>2</w:t>
            </w:r>
          </w:p>
        </w:tc>
        <w:tc>
          <w:tcPr>
            <w:tcW w:w="990" w:type="dxa"/>
            <w:tcBorders>
              <w:top w:val="single" w:color="auto" w:sz="4" w:space="0"/>
              <w:left w:val="single" w:color="auto" w:sz="4" w:space="0"/>
              <w:bottom w:val="single" w:color="auto" w:sz="4" w:space="0"/>
              <w:right w:val="single" w:color="auto" w:sz="4" w:space="0"/>
            </w:tcBorders>
          </w:tcPr>
          <w:p w14:paraId="56847545">
            <w:pPr>
              <w:adjustRightInd w:val="0"/>
              <w:snapToGrid w:val="0"/>
              <w:spacing w:line="360" w:lineRule="auto"/>
              <w:rPr>
                <w:rFonts w:ascii="宋体" w:hAnsi="宋体"/>
                <w:szCs w:val="21"/>
              </w:rPr>
            </w:pPr>
            <w:r>
              <w:rPr>
                <w:rFonts w:hint="eastAsia" w:ascii="宋体" w:hAnsi="宋体"/>
                <w:szCs w:val="21"/>
              </w:rPr>
              <w:t>消</w:t>
            </w:r>
          </w:p>
          <w:p w14:paraId="26D55E86">
            <w:pPr>
              <w:adjustRightInd w:val="0"/>
              <w:snapToGrid w:val="0"/>
              <w:spacing w:line="360" w:lineRule="auto"/>
              <w:rPr>
                <w:rFonts w:ascii="宋体" w:hAnsi="宋体"/>
                <w:szCs w:val="21"/>
              </w:rPr>
            </w:pPr>
            <w:r>
              <w:rPr>
                <w:rFonts w:hint="eastAsia" w:ascii="宋体" w:hAnsi="宋体"/>
                <w:szCs w:val="21"/>
              </w:rPr>
              <w:t>防</w:t>
            </w:r>
          </w:p>
          <w:p w14:paraId="43C4CDBA">
            <w:pPr>
              <w:adjustRightInd w:val="0"/>
              <w:snapToGrid w:val="0"/>
              <w:spacing w:line="360" w:lineRule="auto"/>
              <w:rPr>
                <w:rFonts w:ascii="宋体" w:hAnsi="宋体"/>
                <w:szCs w:val="21"/>
              </w:rPr>
            </w:pPr>
            <w:r>
              <w:rPr>
                <w:rFonts w:hint="eastAsia" w:ascii="宋体" w:hAnsi="宋体"/>
                <w:szCs w:val="21"/>
              </w:rPr>
              <w:t>、</w:t>
            </w:r>
          </w:p>
          <w:p w14:paraId="20B3C646">
            <w:pPr>
              <w:adjustRightInd w:val="0"/>
              <w:snapToGrid w:val="0"/>
              <w:spacing w:line="360" w:lineRule="auto"/>
              <w:rPr>
                <w:rFonts w:ascii="宋体" w:hAnsi="宋体"/>
                <w:szCs w:val="21"/>
              </w:rPr>
            </w:pPr>
            <w:r>
              <w:rPr>
                <w:rFonts w:hint="eastAsia" w:ascii="宋体" w:hAnsi="宋体"/>
                <w:szCs w:val="21"/>
              </w:rPr>
              <w:t>防</w:t>
            </w:r>
          </w:p>
          <w:p w14:paraId="5659A753">
            <w:pPr>
              <w:adjustRightInd w:val="0"/>
              <w:snapToGrid w:val="0"/>
              <w:spacing w:line="360" w:lineRule="auto"/>
              <w:rPr>
                <w:rFonts w:ascii="宋体" w:hAnsi="宋体"/>
                <w:szCs w:val="21"/>
              </w:rPr>
            </w:pPr>
            <w:r>
              <w:rPr>
                <w:rFonts w:hint="eastAsia" w:ascii="宋体" w:hAnsi="宋体"/>
                <w:szCs w:val="21"/>
              </w:rPr>
              <w:t>爆</w:t>
            </w:r>
          </w:p>
          <w:p w14:paraId="56113FFC">
            <w:pPr>
              <w:adjustRightInd w:val="0"/>
              <w:snapToGrid w:val="0"/>
              <w:spacing w:line="360" w:lineRule="auto"/>
              <w:rPr>
                <w:rFonts w:ascii="宋体" w:hAnsi="宋体"/>
                <w:szCs w:val="21"/>
              </w:rPr>
            </w:pPr>
            <w:r>
              <w:rPr>
                <w:rFonts w:hint="eastAsia" w:ascii="宋体" w:hAnsi="宋体"/>
                <w:szCs w:val="21"/>
              </w:rPr>
              <w:t>设</w:t>
            </w:r>
          </w:p>
          <w:p w14:paraId="07A790E2">
            <w:pPr>
              <w:adjustRightInd w:val="0"/>
              <w:snapToGrid w:val="0"/>
              <w:spacing w:line="360" w:lineRule="auto"/>
              <w:rPr>
                <w:rFonts w:ascii="宋体" w:hAnsi="宋体"/>
                <w:szCs w:val="21"/>
              </w:rPr>
            </w:pPr>
            <w:r>
              <w:rPr>
                <w:rFonts w:hint="eastAsia" w:ascii="宋体" w:hAnsi="宋体"/>
                <w:szCs w:val="21"/>
              </w:rPr>
              <w:t>备</w:t>
            </w:r>
          </w:p>
          <w:p w14:paraId="444D9C2F">
            <w:pPr>
              <w:adjustRightInd w:val="0"/>
              <w:snapToGrid w:val="0"/>
              <w:spacing w:line="360" w:lineRule="auto"/>
              <w:rPr>
                <w:rFonts w:ascii="宋体" w:hAnsi="宋体"/>
                <w:szCs w:val="21"/>
              </w:rPr>
            </w:pPr>
            <w:r>
              <w:rPr>
                <w:rFonts w:hint="eastAsia" w:ascii="宋体" w:hAnsi="宋体"/>
                <w:szCs w:val="21"/>
              </w:rPr>
              <w:t>设</w:t>
            </w:r>
          </w:p>
          <w:p w14:paraId="178BCD57">
            <w:pPr>
              <w:adjustRightInd w:val="0"/>
              <w:snapToGrid w:val="0"/>
              <w:spacing w:line="360" w:lineRule="auto"/>
              <w:rPr>
                <w:rFonts w:ascii="宋体" w:hAnsi="宋体"/>
                <w:snapToGrid w:val="0"/>
                <w:kern w:val="0"/>
                <w:szCs w:val="21"/>
              </w:rPr>
            </w:pPr>
            <w:r>
              <w:rPr>
                <w:rFonts w:hint="eastAsia" w:ascii="宋体" w:hAnsi="宋体"/>
                <w:szCs w:val="21"/>
              </w:rPr>
              <w:t>施</w:t>
            </w:r>
          </w:p>
        </w:tc>
        <w:tc>
          <w:tcPr>
            <w:tcW w:w="4571" w:type="dxa"/>
            <w:tcBorders>
              <w:top w:val="single" w:color="auto" w:sz="4" w:space="0"/>
              <w:left w:val="single" w:color="auto" w:sz="4" w:space="0"/>
              <w:bottom w:val="single" w:color="auto" w:sz="4" w:space="0"/>
              <w:right w:val="single" w:color="auto" w:sz="4" w:space="0"/>
            </w:tcBorders>
          </w:tcPr>
          <w:p w14:paraId="1928A055">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）储罐区未设至少一台</w:t>
            </w:r>
            <w:r>
              <w:rPr>
                <w:rFonts w:ascii="宋体" w:hAnsi="宋体"/>
                <w:szCs w:val="21"/>
              </w:rPr>
              <w:t>35Kg</w:t>
            </w:r>
            <w:r>
              <w:rPr>
                <w:rFonts w:hint="eastAsia" w:ascii="宋体" w:hAnsi="宋体"/>
                <w:szCs w:val="21"/>
              </w:rPr>
              <w:t>推车式干粉灭火器，每两台加油机未设至少</w:t>
            </w:r>
            <w:r>
              <w:rPr>
                <w:rStyle w:val="37"/>
                <w:rFonts w:ascii="宋体" w:hAnsi="宋体"/>
                <w:b w:val="0"/>
              </w:rPr>
              <w:t>2只4kg手提式干粉灭火器或1只4kg手提式干粉灭火器和1只泡沫灭火器</w:t>
            </w:r>
            <w:r>
              <w:rPr>
                <w:rFonts w:hint="eastAsia" w:ascii="宋体" w:hAnsi="宋体"/>
                <w:b/>
                <w:szCs w:val="21"/>
              </w:rPr>
              <w:t>；</w:t>
            </w:r>
            <w:r>
              <w:rPr>
                <w:rFonts w:hint="eastAsia" w:ascii="宋体" w:hAnsi="宋体"/>
                <w:szCs w:val="21"/>
              </w:rPr>
              <w:t>（</w:t>
            </w:r>
            <w:r>
              <w:rPr>
                <w:rFonts w:ascii="宋体" w:hAnsi="宋体"/>
                <w:szCs w:val="21"/>
              </w:rPr>
              <w:t>2</w:t>
            </w:r>
            <w:r>
              <w:rPr>
                <w:rFonts w:hint="eastAsia" w:ascii="宋体" w:hAnsi="宋体"/>
                <w:szCs w:val="21"/>
              </w:rPr>
              <w:t>）消防沙不保持洁净、干燥松软，有易燃物、沙粒粗糙；（</w:t>
            </w:r>
            <w:r>
              <w:rPr>
                <w:rFonts w:ascii="宋体" w:hAnsi="宋体"/>
                <w:szCs w:val="21"/>
              </w:rPr>
              <w:t>3</w:t>
            </w:r>
            <w:r>
              <w:rPr>
                <w:rFonts w:hint="eastAsia" w:ascii="宋体" w:hAnsi="宋体"/>
                <w:szCs w:val="21"/>
              </w:rPr>
              <w:t>）消防器材箱损坏，开启不灵活，不方便放取；（4）灭火器喷嘴不畅通并未封堵严密，胶管严重折裂、老化现象。（5）没有安全警示标志。（6）爆炸和火灾危险场所的电气设备选型不符合相关规范的要求。</w:t>
            </w:r>
          </w:p>
        </w:tc>
        <w:tc>
          <w:tcPr>
            <w:tcW w:w="2268" w:type="dxa"/>
            <w:tcBorders>
              <w:top w:val="single" w:color="auto" w:sz="4" w:space="0"/>
              <w:left w:val="single" w:color="auto" w:sz="4" w:space="0"/>
              <w:bottom w:val="single" w:color="auto" w:sz="4" w:space="0"/>
            </w:tcBorders>
          </w:tcPr>
          <w:p w14:paraId="69FF4134">
            <w:pPr>
              <w:adjustRightInd w:val="0"/>
              <w:snapToGrid w:val="0"/>
              <w:spacing w:line="360" w:lineRule="auto"/>
              <w:rPr>
                <w:rFonts w:ascii="宋体" w:hAnsi="宋体"/>
                <w:snapToGrid w:val="0"/>
                <w:kern w:val="0"/>
                <w:szCs w:val="21"/>
              </w:rPr>
            </w:pPr>
            <w:r>
              <w:rPr>
                <w:rFonts w:hint="eastAsia" w:ascii="宋体" w:hAnsi="宋体"/>
                <w:szCs w:val="21"/>
              </w:rPr>
              <w:t>不能及时扑灭初期火灾</w:t>
            </w:r>
            <w:r>
              <w:rPr>
                <w:rFonts w:hint="eastAsia" w:ascii="宋体" w:hAnsi="宋体"/>
                <w:snapToGrid w:val="0"/>
                <w:kern w:val="0"/>
                <w:szCs w:val="21"/>
              </w:rPr>
              <w:t>，造成人员、财产损失</w:t>
            </w:r>
          </w:p>
        </w:tc>
      </w:tr>
      <w:tr w14:paraId="11CFB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09805001">
            <w:pPr>
              <w:adjustRightInd w:val="0"/>
              <w:snapToGrid w:val="0"/>
              <w:spacing w:line="360" w:lineRule="auto"/>
              <w:rPr>
                <w:rFonts w:ascii="宋体" w:hAnsi="宋体"/>
                <w:snapToGrid w:val="0"/>
                <w:kern w:val="0"/>
                <w:szCs w:val="21"/>
              </w:rPr>
            </w:pPr>
          </w:p>
          <w:p w14:paraId="4865BB1E">
            <w:pPr>
              <w:adjustRightInd w:val="0"/>
              <w:snapToGrid w:val="0"/>
              <w:spacing w:line="360" w:lineRule="auto"/>
              <w:rPr>
                <w:rFonts w:ascii="宋体" w:hAnsi="宋体"/>
                <w:snapToGrid w:val="0"/>
                <w:kern w:val="0"/>
                <w:szCs w:val="21"/>
              </w:rPr>
            </w:pPr>
            <w:r>
              <w:rPr>
                <w:rFonts w:ascii="宋体" w:hAnsi="宋体"/>
                <w:snapToGrid w:val="0"/>
                <w:kern w:val="0"/>
                <w:szCs w:val="21"/>
              </w:rPr>
              <w:t>3</w:t>
            </w:r>
          </w:p>
        </w:tc>
        <w:tc>
          <w:tcPr>
            <w:tcW w:w="990" w:type="dxa"/>
            <w:tcBorders>
              <w:top w:val="single" w:color="auto" w:sz="4" w:space="0"/>
              <w:left w:val="single" w:color="auto" w:sz="4" w:space="0"/>
              <w:bottom w:val="single" w:color="auto" w:sz="4" w:space="0"/>
              <w:right w:val="single" w:color="auto" w:sz="4" w:space="0"/>
            </w:tcBorders>
          </w:tcPr>
          <w:p w14:paraId="3DE30FB6">
            <w:pPr>
              <w:adjustRightInd w:val="0"/>
              <w:snapToGrid w:val="0"/>
              <w:spacing w:line="360" w:lineRule="auto"/>
              <w:rPr>
                <w:rFonts w:ascii="宋体" w:hAnsi="宋体"/>
                <w:szCs w:val="21"/>
              </w:rPr>
            </w:pPr>
          </w:p>
          <w:p w14:paraId="5ACECCAD">
            <w:pPr>
              <w:adjustRightInd w:val="0"/>
              <w:snapToGrid w:val="0"/>
              <w:spacing w:line="360" w:lineRule="auto"/>
              <w:rPr>
                <w:rFonts w:ascii="宋体" w:hAnsi="宋体"/>
                <w:szCs w:val="21"/>
              </w:rPr>
            </w:pPr>
            <w:r>
              <w:rPr>
                <w:rFonts w:hint="eastAsia" w:ascii="宋体" w:hAnsi="宋体"/>
                <w:szCs w:val="21"/>
              </w:rPr>
              <w:t>接</w:t>
            </w:r>
          </w:p>
          <w:p w14:paraId="3F960CBA">
            <w:pPr>
              <w:adjustRightInd w:val="0"/>
              <w:snapToGrid w:val="0"/>
              <w:spacing w:line="360" w:lineRule="auto"/>
              <w:rPr>
                <w:rFonts w:ascii="宋体" w:hAnsi="宋体"/>
                <w:szCs w:val="21"/>
              </w:rPr>
            </w:pPr>
            <w:r>
              <w:rPr>
                <w:rFonts w:hint="eastAsia" w:ascii="宋体" w:hAnsi="宋体"/>
                <w:szCs w:val="21"/>
              </w:rPr>
              <w:t>地</w:t>
            </w:r>
          </w:p>
          <w:p w14:paraId="781C70A8">
            <w:pPr>
              <w:adjustRightInd w:val="0"/>
              <w:snapToGrid w:val="0"/>
              <w:spacing w:line="360" w:lineRule="auto"/>
              <w:rPr>
                <w:rFonts w:ascii="宋体" w:hAnsi="宋体"/>
                <w:szCs w:val="21"/>
              </w:rPr>
            </w:pPr>
            <w:r>
              <w:rPr>
                <w:rFonts w:hint="eastAsia" w:ascii="宋体" w:hAnsi="宋体"/>
                <w:szCs w:val="21"/>
              </w:rPr>
              <w:t>装</w:t>
            </w:r>
          </w:p>
          <w:p w14:paraId="660ED889">
            <w:pPr>
              <w:adjustRightInd w:val="0"/>
              <w:snapToGrid w:val="0"/>
              <w:spacing w:line="360" w:lineRule="auto"/>
              <w:rPr>
                <w:rFonts w:ascii="宋体" w:hAnsi="宋体"/>
                <w:snapToGrid w:val="0"/>
                <w:kern w:val="0"/>
                <w:szCs w:val="21"/>
              </w:rPr>
            </w:pPr>
            <w:r>
              <w:rPr>
                <w:rFonts w:hint="eastAsia" w:ascii="宋体" w:hAnsi="宋体"/>
                <w:szCs w:val="21"/>
              </w:rPr>
              <w:t>置</w:t>
            </w:r>
          </w:p>
        </w:tc>
        <w:tc>
          <w:tcPr>
            <w:tcW w:w="4571" w:type="dxa"/>
            <w:tcBorders>
              <w:top w:val="single" w:color="auto" w:sz="4" w:space="0"/>
              <w:left w:val="single" w:color="auto" w:sz="4" w:space="0"/>
              <w:bottom w:val="single" w:color="auto" w:sz="4" w:space="0"/>
              <w:right w:val="single" w:color="auto" w:sz="4" w:space="0"/>
            </w:tcBorders>
          </w:tcPr>
          <w:p w14:paraId="7A3640DA">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）接地线与接地装置连接不牢固，接线有断股，接地线与接地网连接处接触不良；（</w:t>
            </w:r>
            <w:r>
              <w:rPr>
                <w:rFonts w:ascii="宋体" w:hAnsi="宋体"/>
                <w:szCs w:val="21"/>
              </w:rPr>
              <w:t>2</w:t>
            </w:r>
            <w:r>
              <w:rPr>
                <w:rFonts w:hint="eastAsia" w:ascii="宋体" w:hAnsi="宋体"/>
                <w:szCs w:val="21"/>
              </w:rPr>
              <w:t>）每个接地点都没有明显的接地标志；（</w:t>
            </w:r>
            <w:r>
              <w:rPr>
                <w:rFonts w:ascii="宋体" w:hAnsi="宋体"/>
                <w:szCs w:val="21"/>
              </w:rPr>
              <w:t>3</w:t>
            </w:r>
            <w:r>
              <w:rPr>
                <w:rFonts w:hint="eastAsia" w:ascii="宋体" w:hAnsi="宋体"/>
                <w:szCs w:val="21"/>
              </w:rPr>
              <w:t>）连接装置不可拆式的连接螺栓不齐全牢固，并没有设防松装置</w:t>
            </w:r>
          </w:p>
        </w:tc>
        <w:tc>
          <w:tcPr>
            <w:tcW w:w="2268" w:type="dxa"/>
            <w:tcBorders>
              <w:top w:val="single" w:color="auto" w:sz="4" w:space="0"/>
              <w:left w:val="single" w:color="auto" w:sz="4" w:space="0"/>
              <w:bottom w:val="single" w:color="auto" w:sz="4" w:space="0"/>
            </w:tcBorders>
          </w:tcPr>
          <w:p w14:paraId="0E9EE679">
            <w:pPr>
              <w:adjustRightInd w:val="0"/>
              <w:snapToGrid w:val="0"/>
              <w:spacing w:line="360" w:lineRule="auto"/>
              <w:rPr>
                <w:rFonts w:ascii="宋体" w:hAnsi="宋体"/>
                <w:snapToGrid w:val="0"/>
                <w:kern w:val="0"/>
                <w:szCs w:val="21"/>
              </w:rPr>
            </w:pPr>
            <w:r>
              <w:rPr>
                <w:rFonts w:hint="eastAsia" w:ascii="宋体" w:hAnsi="宋体"/>
                <w:szCs w:val="21"/>
              </w:rPr>
              <w:t>不能良好导静电，火灾爆炸</w:t>
            </w:r>
          </w:p>
        </w:tc>
      </w:tr>
      <w:tr w14:paraId="636FBB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B2112A6">
            <w:pPr>
              <w:adjustRightInd w:val="0"/>
              <w:snapToGrid w:val="0"/>
              <w:spacing w:line="360" w:lineRule="auto"/>
              <w:rPr>
                <w:rFonts w:ascii="宋体" w:hAnsi="宋体"/>
                <w:snapToGrid w:val="0"/>
                <w:kern w:val="0"/>
                <w:szCs w:val="21"/>
              </w:rPr>
            </w:pPr>
          </w:p>
          <w:p w14:paraId="5F35350F">
            <w:pPr>
              <w:adjustRightInd w:val="0"/>
              <w:snapToGrid w:val="0"/>
              <w:spacing w:line="360" w:lineRule="auto"/>
              <w:rPr>
                <w:rFonts w:ascii="宋体" w:hAnsi="宋体"/>
                <w:snapToGrid w:val="0"/>
                <w:kern w:val="0"/>
                <w:szCs w:val="21"/>
              </w:rPr>
            </w:pPr>
            <w:r>
              <w:rPr>
                <w:rFonts w:ascii="宋体" w:hAnsi="宋体"/>
                <w:snapToGrid w:val="0"/>
                <w:kern w:val="0"/>
                <w:szCs w:val="21"/>
              </w:rPr>
              <w:t>4</w:t>
            </w:r>
          </w:p>
        </w:tc>
        <w:tc>
          <w:tcPr>
            <w:tcW w:w="990" w:type="dxa"/>
            <w:tcBorders>
              <w:top w:val="single" w:color="auto" w:sz="4" w:space="0"/>
              <w:left w:val="single" w:color="auto" w:sz="4" w:space="0"/>
              <w:bottom w:val="single" w:color="auto" w:sz="4" w:space="0"/>
              <w:right w:val="single" w:color="auto" w:sz="4" w:space="0"/>
            </w:tcBorders>
          </w:tcPr>
          <w:p w14:paraId="7A37B50C">
            <w:pPr>
              <w:adjustRightInd w:val="0"/>
              <w:snapToGrid w:val="0"/>
              <w:spacing w:line="360" w:lineRule="auto"/>
              <w:rPr>
                <w:rFonts w:ascii="宋体" w:hAnsi="宋体"/>
                <w:snapToGrid w:val="0"/>
                <w:kern w:val="0"/>
                <w:szCs w:val="21"/>
              </w:rPr>
            </w:pPr>
          </w:p>
          <w:p w14:paraId="0C1E0D51">
            <w:pPr>
              <w:adjustRightInd w:val="0"/>
              <w:snapToGrid w:val="0"/>
              <w:spacing w:line="360" w:lineRule="auto"/>
              <w:rPr>
                <w:rFonts w:ascii="宋体" w:hAnsi="宋体"/>
                <w:snapToGrid w:val="0"/>
                <w:kern w:val="0"/>
                <w:szCs w:val="21"/>
              </w:rPr>
            </w:pPr>
            <w:r>
              <w:rPr>
                <w:rFonts w:hint="eastAsia" w:ascii="宋体" w:hAnsi="宋体"/>
                <w:snapToGrid w:val="0"/>
                <w:kern w:val="0"/>
                <w:szCs w:val="21"/>
              </w:rPr>
              <w:t>加</w:t>
            </w:r>
          </w:p>
          <w:p w14:paraId="61106CF4">
            <w:pPr>
              <w:adjustRightInd w:val="0"/>
              <w:snapToGrid w:val="0"/>
              <w:spacing w:line="360" w:lineRule="auto"/>
              <w:rPr>
                <w:rFonts w:ascii="宋体" w:hAnsi="宋体"/>
                <w:snapToGrid w:val="0"/>
                <w:kern w:val="0"/>
                <w:szCs w:val="21"/>
              </w:rPr>
            </w:pPr>
            <w:r>
              <w:rPr>
                <w:rFonts w:hint="eastAsia" w:ascii="宋体" w:hAnsi="宋体"/>
                <w:snapToGrid w:val="0"/>
                <w:kern w:val="0"/>
                <w:szCs w:val="21"/>
              </w:rPr>
              <w:t>油</w:t>
            </w:r>
          </w:p>
          <w:p w14:paraId="53828E9D">
            <w:pPr>
              <w:adjustRightInd w:val="0"/>
              <w:snapToGrid w:val="0"/>
              <w:spacing w:line="360" w:lineRule="auto"/>
              <w:rPr>
                <w:rFonts w:ascii="宋体" w:hAnsi="宋体"/>
                <w:snapToGrid w:val="0"/>
                <w:kern w:val="0"/>
                <w:szCs w:val="21"/>
              </w:rPr>
            </w:pPr>
            <w:r>
              <w:rPr>
                <w:rFonts w:hint="eastAsia" w:ascii="宋体" w:hAnsi="宋体"/>
                <w:snapToGrid w:val="0"/>
                <w:kern w:val="0"/>
                <w:szCs w:val="21"/>
              </w:rPr>
              <w:t>设</w:t>
            </w:r>
          </w:p>
          <w:p w14:paraId="61A7A4BE">
            <w:pPr>
              <w:adjustRightInd w:val="0"/>
              <w:snapToGrid w:val="0"/>
              <w:spacing w:line="360" w:lineRule="auto"/>
              <w:rPr>
                <w:rFonts w:ascii="宋体" w:hAnsi="宋体"/>
                <w:szCs w:val="21"/>
              </w:rPr>
            </w:pPr>
            <w:r>
              <w:rPr>
                <w:rFonts w:hint="eastAsia" w:ascii="宋体" w:hAnsi="宋体"/>
                <w:snapToGrid w:val="0"/>
                <w:kern w:val="0"/>
                <w:szCs w:val="21"/>
              </w:rPr>
              <w:t>备</w:t>
            </w:r>
          </w:p>
        </w:tc>
        <w:tc>
          <w:tcPr>
            <w:tcW w:w="4571" w:type="dxa"/>
            <w:tcBorders>
              <w:top w:val="single" w:color="auto" w:sz="4" w:space="0"/>
              <w:left w:val="single" w:color="auto" w:sz="4" w:space="0"/>
              <w:bottom w:val="single" w:color="auto" w:sz="4" w:space="0"/>
              <w:right w:val="single" w:color="auto" w:sz="4" w:space="0"/>
            </w:tcBorders>
          </w:tcPr>
          <w:p w14:paraId="1799E1D3">
            <w:pPr>
              <w:adjustRightInd w:val="0"/>
              <w:snapToGrid w:val="0"/>
              <w:spacing w:line="360" w:lineRule="auto"/>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）加油枪密封性不良、有滴漏现象、自封性能差；导静电接地式无效，电阻值不合格（</w:t>
            </w:r>
            <w:r>
              <w:rPr>
                <w:rFonts w:ascii="宋体" w:hAnsi="宋体"/>
                <w:szCs w:val="21"/>
              </w:rPr>
              <w:t>2</w:t>
            </w:r>
            <w:r>
              <w:rPr>
                <w:rFonts w:hint="eastAsia" w:ascii="宋体" w:hAnsi="宋体"/>
                <w:szCs w:val="21"/>
              </w:rPr>
              <w:t>）使用不能导静电的加油胶管，且电阻值不合格；胶管有渗漏和老化损坏，外层有开裂、溶解现象；（</w:t>
            </w:r>
            <w:r>
              <w:rPr>
                <w:rFonts w:ascii="宋体" w:hAnsi="宋体"/>
                <w:szCs w:val="21"/>
              </w:rPr>
              <w:t>3</w:t>
            </w:r>
            <w:r>
              <w:rPr>
                <w:rFonts w:hint="eastAsia" w:ascii="宋体" w:hAnsi="宋体"/>
                <w:szCs w:val="21"/>
              </w:rPr>
              <w:t>）加油机没有技监部门出具的防爆合格证；加油机身接地不良，且有断接卡；加油机固定螺栓有腐蚀、松动；（</w:t>
            </w:r>
            <w:r>
              <w:rPr>
                <w:rFonts w:ascii="宋体" w:hAnsi="宋体"/>
                <w:szCs w:val="21"/>
              </w:rPr>
              <w:t>4</w:t>
            </w:r>
            <w:r>
              <w:rPr>
                <w:rFonts w:hint="eastAsia" w:ascii="宋体" w:hAnsi="宋体"/>
                <w:szCs w:val="21"/>
              </w:rPr>
              <w:t>）加油岛不符合规定，不干净、破损；（</w:t>
            </w:r>
            <w:r>
              <w:rPr>
                <w:rFonts w:ascii="宋体" w:hAnsi="宋体"/>
                <w:szCs w:val="21"/>
              </w:rPr>
              <w:t>5</w:t>
            </w:r>
            <w:r>
              <w:rPr>
                <w:rFonts w:hint="eastAsia" w:ascii="宋体" w:hAnsi="宋体"/>
                <w:szCs w:val="21"/>
              </w:rPr>
              <w:t>）计量器密封性差，有泄漏和损伤现象。</w:t>
            </w:r>
          </w:p>
        </w:tc>
        <w:tc>
          <w:tcPr>
            <w:tcW w:w="2268" w:type="dxa"/>
            <w:tcBorders>
              <w:top w:val="single" w:color="auto" w:sz="4" w:space="0"/>
              <w:left w:val="single" w:color="auto" w:sz="4" w:space="0"/>
              <w:bottom w:val="single" w:color="auto" w:sz="4" w:space="0"/>
            </w:tcBorders>
          </w:tcPr>
          <w:p w14:paraId="56E4AE6E">
            <w:pPr>
              <w:adjustRightInd w:val="0"/>
              <w:snapToGrid w:val="0"/>
              <w:spacing w:line="360" w:lineRule="auto"/>
              <w:rPr>
                <w:rFonts w:ascii="宋体" w:hAnsi="宋体"/>
                <w:szCs w:val="21"/>
              </w:rPr>
            </w:pPr>
          </w:p>
          <w:p w14:paraId="52EBADE0">
            <w:pPr>
              <w:adjustRightInd w:val="0"/>
              <w:snapToGrid w:val="0"/>
              <w:spacing w:line="360" w:lineRule="auto"/>
              <w:rPr>
                <w:rFonts w:ascii="宋体" w:hAnsi="宋体"/>
                <w:szCs w:val="21"/>
              </w:rPr>
            </w:pPr>
          </w:p>
          <w:p w14:paraId="11652490">
            <w:pPr>
              <w:adjustRightInd w:val="0"/>
              <w:snapToGrid w:val="0"/>
              <w:spacing w:line="360" w:lineRule="auto"/>
              <w:rPr>
                <w:rFonts w:ascii="宋体" w:hAnsi="宋体"/>
                <w:szCs w:val="21"/>
              </w:rPr>
            </w:pPr>
            <w:r>
              <w:rPr>
                <w:rFonts w:hint="eastAsia" w:ascii="宋体" w:hAnsi="宋体"/>
                <w:szCs w:val="21"/>
              </w:rPr>
              <w:t>少量油品渗漏，不能导静电，设备损坏油气积聚，发生火灾、爆炸造成人员伤亡、财产损失、污染环境</w:t>
            </w:r>
          </w:p>
        </w:tc>
      </w:tr>
      <w:tr w14:paraId="1D4F8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right w:val="single" w:color="auto" w:sz="4" w:space="0"/>
            </w:tcBorders>
          </w:tcPr>
          <w:p w14:paraId="12A7EE73">
            <w:pPr>
              <w:adjustRightInd w:val="0"/>
              <w:snapToGrid w:val="0"/>
              <w:spacing w:line="360" w:lineRule="auto"/>
              <w:rPr>
                <w:rFonts w:ascii="宋体" w:hAnsi="宋体"/>
                <w:snapToGrid w:val="0"/>
                <w:kern w:val="0"/>
                <w:szCs w:val="21"/>
              </w:rPr>
            </w:pPr>
            <w:r>
              <w:rPr>
                <w:rFonts w:hint="eastAsia" w:ascii="宋体" w:hAnsi="宋体"/>
                <w:snapToGrid w:val="0"/>
                <w:kern w:val="0"/>
                <w:szCs w:val="21"/>
              </w:rPr>
              <w:t>5</w:t>
            </w:r>
          </w:p>
        </w:tc>
        <w:tc>
          <w:tcPr>
            <w:tcW w:w="990" w:type="dxa"/>
            <w:tcBorders>
              <w:top w:val="single" w:color="auto" w:sz="4" w:space="0"/>
              <w:left w:val="single" w:color="auto" w:sz="4" w:space="0"/>
              <w:right w:val="single" w:color="auto" w:sz="4" w:space="0"/>
            </w:tcBorders>
          </w:tcPr>
          <w:p w14:paraId="15293EBC">
            <w:pPr>
              <w:adjustRightInd w:val="0"/>
              <w:snapToGrid w:val="0"/>
              <w:spacing w:line="360" w:lineRule="auto"/>
              <w:rPr>
                <w:rFonts w:ascii="宋体" w:hAnsi="宋体"/>
                <w:snapToGrid w:val="0"/>
                <w:kern w:val="0"/>
                <w:szCs w:val="21"/>
              </w:rPr>
            </w:pPr>
            <w:r>
              <w:rPr>
                <w:rFonts w:hint="eastAsia" w:ascii="宋体" w:hAnsi="宋体"/>
                <w:snapToGrid w:val="0"/>
                <w:kern w:val="0"/>
                <w:szCs w:val="21"/>
              </w:rPr>
              <w:t>建筑物</w:t>
            </w:r>
          </w:p>
        </w:tc>
        <w:tc>
          <w:tcPr>
            <w:tcW w:w="4571" w:type="dxa"/>
            <w:tcBorders>
              <w:top w:val="single" w:color="auto" w:sz="4" w:space="0"/>
              <w:left w:val="single" w:color="auto" w:sz="4" w:space="0"/>
              <w:right w:val="single" w:color="auto" w:sz="4" w:space="0"/>
            </w:tcBorders>
          </w:tcPr>
          <w:p w14:paraId="629D3AE8">
            <w:pPr>
              <w:adjustRightInd w:val="0"/>
              <w:snapToGrid w:val="0"/>
              <w:spacing w:line="360" w:lineRule="auto"/>
              <w:rPr>
                <w:rFonts w:ascii="宋体" w:hAnsi="宋体"/>
                <w:szCs w:val="21"/>
              </w:rPr>
            </w:pPr>
            <w:r>
              <w:rPr>
                <w:rFonts w:hint="eastAsia" w:ascii="宋体" w:hAnsi="宋体"/>
                <w:szCs w:val="21"/>
              </w:rPr>
              <w:t>挡土墙及围墙施工质量不良、地质原因塌陷。</w:t>
            </w:r>
          </w:p>
        </w:tc>
        <w:tc>
          <w:tcPr>
            <w:tcW w:w="2268" w:type="dxa"/>
            <w:tcBorders>
              <w:top w:val="single" w:color="auto" w:sz="4" w:space="0"/>
              <w:left w:val="single" w:color="auto" w:sz="4" w:space="0"/>
            </w:tcBorders>
          </w:tcPr>
          <w:p w14:paraId="68405697">
            <w:pPr>
              <w:adjustRightInd w:val="0"/>
              <w:snapToGrid w:val="0"/>
              <w:spacing w:line="360" w:lineRule="auto"/>
              <w:rPr>
                <w:rFonts w:ascii="宋体" w:hAnsi="宋体"/>
                <w:szCs w:val="21"/>
              </w:rPr>
            </w:pPr>
            <w:r>
              <w:rPr>
                <w:rFonts w:hint="eastAsia" w:ascii="宋体" w:hAnsi="宋体"/>
                <w:szCs w:val="21"/>
              </w:rPr>
              <w:t>人员伤亡</w:t>
            </w:r>
          </w:p>
        </w:tc>
      </w:tr>
    </w:tbl>
    <w:p w14:paraId="4A320D5D">
      <w:pPr>
        <w:pStyle w:val="11"/>
        <w:spacing w:line="500" w:lineRule="exact"/>
        <w:ind w:firstLine="600"/>
        <w:rPr>
          <w:rFonts w:ascii="宋体" w:hAnsi="宋体"/>
          <w:sz w:val="28"/>
        </w:rPr>
      </w:pPr>
      <w:r>
        <w:rPr>
          <w:rFonts w:hint="eastAsia" w:ascii="宋体" w:hAnsi="宋体"/>
          <w:sz w:val="28"/>
        </w:rPr>
        <w:t>2.软件危险因素主要存于下列环节中：</w:t>
      </w:r>
    </w:p>
    <w:p w14:paraId="6891BFF9">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各级从业人员安全生产责任制的制定与落实；</w:t>
      </w:r>
    </w:p>
    <w:p w14:paraId="031710C6">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安全管理制度的制定与落实；</w:t>
      </w:r>
    </w:p>
    <w:p w14:paraId="1613295A">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各岗位安全技术操作规程的制定与落实；</w:t>
      </w:r>
    </w:p>
    <w:p w14:paraId="19BDAFA3">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从业人员的安全教育培训。</w:t>
      </w:r>
    </w:p>
    <w:p w14:paraId="0471C6A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5软件危险因素主要分析表</w:t>
      </w:r>
    </w:p>
    <w:tbl>
      <w:tblPr>
        <w:tblStyle w:val="33"/>
        <w:tblW w:w="82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1386"/>
        <w:gridCol w:w="4195"/>
        <w:gridCol w:w="2126"/>
      </w:tblGrid>
      <w:tr w14:paraId="072FB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504" w:type="dxa"/>
            <w:tcBorders>
              <w:bottom w:val="single" w:color="auto" w:sz="4" w:space="0"/>
              <w:right w:val="single" w:color="auto" w:sz="4" w:space="0"/>
            </w:tcBorders>
            <w:vAlign w:val="center"/>
          </w:tcPr>
          <w:p w14:paraId="65D487D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序号</w:t>
            </w:r>
          </w:p>
        </w:tc>
        <w:tc>
          <w:tcPr>
            <w:tcW w:w="1386" w:type="dxa"/>
            <w:tcBorders>
              <w:left w:val="single" w:color="auto" w:sz="4" w:space="0"/>
              <w:bottom w:val="single" w:color="auto" w:sz="4" w:space="0"/>
              <w:right w:val="single" w:color="auto" w:sz="4" w:space="0"/>
            </w:tcBorders>
            <w:vAlign w:val="center"/>
          </w:tcPr>
          <w:p w14:paraId="0483C0E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软件环节</w:t>
            </w:r>
          </w:p>
        </w:tc>
        <w:tc>
          <w:tcPr>
            <w:tcW w:w="4195" w:type="dxa"/>
            <w:tcBorders>
              <w:left w:val="single" w:color="auto" w:sz="4" w:space="0"/>
              <w:bottom w:val="single" w:color="auto" w:sz="4" w:space="0"/>
              <w:right w:val="single" w:color="auto" w:sz="4" w:space="0"/>
            </w:tcBorders>
            <w:vAlign w:val="center"/>
          </w:tcPr>
          <w:p w14:paraId="32209C87">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产生危险的原因</w:t>
            </w:r>
          </w:p>
        </w:tc>
        <w:tc>
          <w:tcPr>
            <w:tcW w:w="2126" w:type="dxa"/>
            <w:tcBorders>
              <w:left w:val="single" w:color="auto" w:sz="4" w:space="0"/>
              <w:bottom w:val="single" w:color="auto" w:sz="4" w:space="0"/>
            </w:tcBorders>
            <w:vAlign w:val="center"/>
          </w:tcPr>
          <w:p w14:paraId="08C45750">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可能产生的危害</w:t>
            </w:r>
          </w:p>
        </w:tc>
      </w:tr>
      <w:tr w14:paraId="57186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bottom w:val="single" w:color="auto" w:sz="4" w:space="0"/>
              <w:right w:val="single" w:color="auto" w:sz="4" w:space="0"/>
            </w:tcBorders>
            <w:vAlign w:val="center"/>
          </w:tcPr>
          <w:p w14:paraId="15428A9A">
            <w:pPr>
              <w:adjustRightInd w:val="0"/>
              <w:snapToGrid w:val="0"/>
              <w:spacing w:line="360" w:lineRule="auto"/>
              <w:jc w:val="center"/>
              <w:rPr>
                <w:rFonts w:ascii="宋体" w:hAnsi="宋体"/>
                <w:snapToGrid w:val="0"/>
                <w:kern w:val="0"/>
                <w:szCs w:val="21"/>
              </w:rPr>
            </w:pPr>
            <w:r>
              <w:rPr>
                <w:rFonts w:ascii="宋体" w:hAnsi="宋体"/>
                <w:snapToGrid w:val="0"/>
                <w:kern w:val="0"/>
                <w:szCs w:val="21"/>
              </w:rPr>
              <w:t>1</w:t>
            </w:r>
          </w:p>
        </w:tc>
        <w:tc>
          <w:tcPr>
            <w:tcW w:w="1386" w:type="dxa"/>
            <w:tcBorders>
              <w:top w:val="single" w:color="auto" w:sz="4" w:space="0"/>
              <w:left w:val="single" w:color="auto" w:sz="4" w:space="0"/>
              <w:bottom w:val="single" w:color="auto" w:sz="4" w:space="0"/>
              <w:right w:val="single" w:color="auto" w:sz="4" w:space="0"/>
            </w:tcBorders>
            <w:vAlign w:val="center"/>
          </w:tcPr>
          <w:p w14:paraId="57131F4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验</w:t>
            </w:r>
          </w:p>
          <w:p w14:paraId="41E0430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货</w:t>
            </w:r>
          </w:p>
        </w:tc>
        <w:tc>
          <w:tcPr>
            <w:tcW w:w="4195" w:type="dxa"/>
            <w:tcBorders>
              <w:top w:val="single" w:color="auto" w:sz="4" w:space="0"/>
              <w:left w:val="single" w:color="auto" w:sz="4" w:space="0"/>
              <w:bottom w:val="single" w:color="auto" w:sz="4" w:space="0"/>
              <w:right w:val="single" w:color="auto" w:sz="4" w:space="0"/>
            </w:tcBorders>
            <w:vAlign w:val="center"/>
          </w:tcPr>
          <w:p w14:paraId="252C1194">
            <w:pPr>
              <w:adjustRightInd w:val="0"/>
              <w:snapToGrid w:val="0"/>
              <w:spacing w:line="360" w:lineRule="auto"/>
              <w:rPr>
                <w:rFonts w:ascii="宋体" w:hAnsi="宋体"/>
                <w:snapToGrid w:val="0"/>
                <w:kern w:val="0"/>
                <w:szCs w:val="21"/>
              </w:rPr>
            </w:pPr>
            <w:r>
              <w:rPr>
                <w:rFonts w:hint="eastAsia" w:ascii="宋体" w:hAnsi="宋体"/>
                <w:snapToGrid w:val="0"/>
                <w:kern w:val="0"/>
                <w:szCs w:val="21"/>
              </w:rPr>
              <w:t>不严格按照国家法律、法规所规定的销售成品油的产品质量要求进行验收；没有验货记录；验货人员缺乏相关知识。安全员在卸车时，不向卸车人员说明注意事项，提示卸车重点，检查安全防护设施，不负责监卸。</w:t>
            </w:r>
          </w:p>
        </w:tc>
        <w:tc>
          <w:tcPr>
            <w:tcW w:w="2126" w:type="dxa"/>
            <w:tcBorders>
              <w:top w:val="single" w:color="auto" w:sz="4" w:space="0"/>
              <w:left w:val="single" w:color="auto" w:sz="4" w:space="0"/>
              <w:bottom w:val="single" w:color="auto" w:sz="4" w:space="0"/>
            </w:tcBorders>
            <w:vAlign w:val="center"/>
          </w:tcPr>
          <w:p w14:paraId="3E38E91B">
            <w:pPr>
              <w:pStyle w:val="30"/>
              <w:adjustRightInd w:val="0"/>
              <w:snapToGrid w:val="0"/>
              <w:spacing w:line="360" w:lineRule="auto"/>
              <w:rPr>
                <w:rFonts w:ascii="宋体" w:hAnsi="宋体"/>
                <w:snapToGrid w:val="0"/>
                <w:kern w:val="0"/>
                <w:szCs w:val="21"/>
              </w:rPr>
            </w:pPr>
            <w:r>
              <w:rPr>
                <w:rFonts w:hint="eastAsia" w:ascii="宋体" w:hAnsi="宋体"/>
                <w:snapToGrid w:val="0"/>
                <w:kern w:val="0"/>
                <w:szCs w:val="21"/>
              </w:rPr>
              <w:t>产品质量不合格，发生货物混杂，泄漏，火灾、爆炸，造成人员伤亡、财产损失，环境污染。</w:t>
            </w:r>
          </w:p>
        </w:tc>
      </w:tr>
      <w:tr w14:paraId="223D5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68404BE7">
            <w:pPr>
              <w:adjustRightInd w:val="0"/>
              <w:snapToGrid w:val="0"/>
              <w:spacing w:line="360" w:lineRule="auto"/>
              <w:jc w:val="center"/>
              <w:rPr>
                <w:rFonts w:ascii="宋体" w:hAnsi="宋体"/>
                <w:snapToGrid w:val="0"/>
                <w:kern w:val="0"/>
                <w:szCs w:val="21"/>
              </w:rPr>
            </w:pPr>
            <w:r>
              <w:rPr>
                <w:rFonts w:ascii="宋体" w:hAnsi="宋体"/>
                <w:snapToGrid w:val="0"/>
                <w:kern w:val="0"/>
                <w:szCs w:val="21"/>
              </w:rPr>
              <w:t>2</w:t>
            </w:r>
          </w:p>
        </w:tc>
        <w:tc>
          <w:tcPr>
            <w:tcW w:w="1386" w:type="dxa"/>
            <w:tcBorders>
              <w:top w:val="single" w:color="auto" w:sz="4" w:space="0"/>
              <w:left w:val="single" w:color="auto" w:sz="4" w:space="0"/>
              <w:right w:val="single" w:color="auto" w:sz="4" w:space="0"/>
            </w:tcBorders>
            <w:vAlign w:val="center"/>
          </w:tcPr>
          <w:p w14:paraId="505E50C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加</w:t>
            </w:r>
          </w:p>
          <w:p w14:paraId="0552C67C">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620C0FE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5ED5620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A5E7AAE">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）加油车辆到限定位置后未熄火，司机在此修理和擦拭汽车。（</w:t>
            </w:r>
            <w:r>
              <w:rPr>
                <w:rFonts w:hAnsi="宋体"/>
                <w:sz w:val="21"/>
                <w:szCs w:val="21"/>
              </w:rPr>
              <w:t>2</w:t>
            </w:r>
            <w:r>
              <w:rPr>
                <w:rFonts w:hint="eastAsia" w:hAnsi="宋体"/>
                <w:sz w:val="21"/>
                <w:szCs w:val="21"/>
              </w:rPr>
              <w:t>）油枪未牢靠地插入油箱的灌油口内，精力不集中，违反操作规定。（</w:t>
            </w:r>
            <w:r>
              <w:rPr>
                <w:rFonts w:hAnsi="宋体"/>
                <w:sz w:val="21"/>
                <w:szCs w:val="21"/>
              </w:rPr>
              <w:t>3</w:t>
            </w:r>
            <w:r>
              <w:rPr>
                <w:rFonts w:hint="eastAsia" w:hAnsi="宋体"/>
                <w:sz w:val="21"/>
                <w:szCs w:val="21"/>
              </w:rPr>
              <w:t>）高强闪电、雷击频繁时，加油作业，送油车卸油时加油。给塑料容器加油。（</w:t>
            </w:r>
            <w:r>
              <w:rPr>
                <w:rFonts w:hAnsi="宋体"/>
                <w:sz w:val="21"/>
                <w:szCs w:val="21"/>
              </w:rPr>
              <w:t>4</w:t>
            </w:r>
            <w:r>
              <w:rPr>
                <w:rFonts w:hint="eastAsia" w:hAnsi="宋体"/>
                <w:sz w:val="21"/>
                <w:szCs w:val="21"/>
              </w:rPr>
              <w:t>）发生跑、冒、滴油时未清理现场，加油车就启动、离去。（</w:t>
            </w:r>
            <w:r>
              <w:rPr>
                <w:rFonts w:hAnsi="宋体"/>
                <w:sz w:val="21"/>
                <w:szCs w:val="21"/>
              </w:rPr>
              <w:t>5</w:t>
            </w:r>
            <w:r>
              <w:rPr>
                <w:rFonts w:hint="eastAsia" w:hAnsi="宋体"/>
                <w:sz w:val="21"/>
                <w:szCs w:val="21"/>
              </w:rPr>
              <w:t>）对作业中洒在地面上的油品未及时处理，用化纤织物擦拭加油机、汽车油箱附近车体和地面。（</w:t>
            </w:r>
            <w:r>
              <w:rPr>
                <w:rFonts w:hAnsi="宋体"/>
                <w:sz w:val="21"/>
                <w:szCs w:val="21"/>
              </w:rPr>
              <w:t>6</w:t>
            </w:r>
            <w:r>
              <w:rPr>
                <w:rFonts w:hint="eastAsia" w:hAnsi="宋体"/>
                <w:sz w:val="21"/>
                <w:szCs w:val="21"/>
              </w:rPr>
              <w:t>）加油站停止营业时，未关闭加油机，未切断电源，未锁好机门。（</w:t>
            </w:r>
            <w:r>
              <w:rPr>
                <w:rFonts w:hAnsi="宋体"/>
                <w:sz w:val="21"/>
                <w:szCs w:val="21"/>
              </w:rPr>
              <w:t>7</w:t>
            </w:r>
            <w:r>
              <w:rPr>
                <w:rFonts w:hint="eastAsia" w:hAnsi="宋体"/>
                <w:sz w:val="21"/>
                <w:szCs w:val="21"/>
              </w:rPr>
              <w:t>）进站车辆车速过快或盲目倒车。（</w:t>
            </w:r>
            <w:r>
              <w:rPr>
                <w:rFonts w:hAnsi="宋体"/>
                <w:sz w:val="21"/>
                <w:szCs w:val="21"/>
              </w:rPr>
              <w:t>8</w:t>
            </w:r>
            <w:r>
              <w:rPr>
                <w:rFonts w:hint="eastAsia" w:hAnsi="宋体"/>
                <w:sz w:val="21"/>
                <w:szCs w:val="21"/>
              </w:rPr>
              <w:t>）直接给塑料桶或汽车气化器加油或在加油现场打手机。</w:t>
            </w:r>
          </w:p>
        </w:tc>
        <w:tc>
          <w:tcPr>
            <w:tcW w:w="2126" w:type="dxa"/>
            <w:tcBorders>
              <w:top w:val="single" w:color="auto" w:sz="4" w:space="0"/>
              <w:left w:val="single" w:color="auto" w:sz="4" w:space="0"/>
            </w:tcBorders>
            <w:vAlign w:val="center"/>
          </w:tcPr>
          <w:p w14:paraId="30AA72FC">
            <w:pPr>
              <w:pStyle w:val="16"/>
              <w:adjustRightInd w:val="0"/>
              <w:snapToGrid w:val="0"/>
              <w:spacing w:line="360" w:lineRule="auto"/>
              <w:rPr>
                <w:rFonts w:hAnsi="宋体"/>
                <w:snapToGrid w:val="0"/>
                <w:kern w:val="0"/>
                <w:sz w:val="21"/>
                <w:szCs w:val="21"/>
              </w:rPr>
            </w:pPr>
            <w:r>
              <w:rPr>
                <w:rFonts w:hint="eastAsia" w:hAnsi="宋体"/>
                <w:snapToGrid w:val="0"/>
                <w:kern w:val="0"/>
                <w:sz w:val="21"/>
                <w:szCs w:val="21"/>
              </w:rPr>
              <w:t>泄漏，火灾、爆炸，造成人员伤亡、财产损失，环境污染</w:t>
            </w:r>
          </w:p>
        </w:tc>
      </w:tr>
      <w:tr w14:paraId="2C2A4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54DD2C3A">
            <w:pPr>
              <w:adjustRightInd w:val="0"/>
              <w:snapToGrid w:val="0"/>
              <w:spacing w:line="360" w:lineRule="auto"/>
              <w:jc w:val="center"/>
              <w:rPr>
                <w:rFonts w:ascii="宋体" w:hAnsi="宋体"/>
                <w:snapToGrid w:val="0"/>
                <w:kern w:val="0"/>
                <w:szCs w:val="21"/>
              </w:rPr>
            </w:pPr>
            <w:r>
              <w:rPr>
                <w:rFonts w:ascii="宋体" w:hAnsi="宋体"/>
                <w:snapToGrid w:val="0"/>
                <w:kern w:val="0"/>
                <w:szCs w:val="21"/>
              </w:rPr>
              <w:t>3</w:t>
            </w:r>
          </w:p>
        </w:tc>
        <w:tc>
          <w:tcPr>
            <w:tcW w:w="1386" w:type="dxa"/>
            <w:tcBorders>
              <w:top w:val="single" w:color="auto" w:sz="4" w:space="0"/>
              <w:left w:val="single" w:color="auto" w:sz="4" w:space="0"/>
              <w:right w:val="single" w:color="auto" w:sz="4" w:space="0"/>
            </w:tcBorders>
            <w:vAlign w:val="center"/>
          </w:tcPr>
          <w:p w14:paraId="3BF4FB32">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卸</w:t>
            </w:r>
          </w:p>
          <w:p w14:paraId="31D4D42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590741C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7432C16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E0FE53D">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）作业人员未穿能导除静电衣着和鞋；⑵使用产生火花工具；⑶在暴风雷雨天作业；⑷让顾客把鹤管。（</w:t>
            </w:r>
            <w:r>
              <w:rPr>
                <w:rFonts w:hAnsi="宋体"/>
                <w:sz w:val="21"/>
                <w:szCs w:val="21"/>
              </w:rPr>
              <w:t>5</w:t>
            </w:r>
            <w:r>
              <w:rPr>
                <w:rFonts w:hint="eastAsia" w:hAnsi="宋体"/>
                <w:sz w:val="21"/>
                <w:szCs w:val="21"/>
              </w:rPr>
              <w:t>）发现溢泄或漏油时，有关装油点和邻近装油位置上的一切装油作业不及时停止。所有卸油或下部装油时开着的阀门未关闭。溢泄出来的油品未清除干净以前，操作车辆的起动器。装油负责人未宣布该地区是安全以前，恢复装油。（</w:t>
            </w:r>
            <w:r>
              <w:rPr>
                <w:rFonts w:hAnsi="宋体"/>
                <w:sz w:val="21"/>
                <w:szCs w:val="21"/>
              </w:rPr>
              <w:t>6</w:t>
            </w:r>
            <w:r>
              <w:rPr>
                <w:rFonts w:hint="eastAsia" w:hAnsi="宋体"/>
                <w:sz w:val="21"/>
                <w:szCs w:val="21"/>
              </w:rPr>
              <w:t>）在装卸油期间发生火警，未立即停止一切作业。（</w:t>
            </w:r>
            <w:r>
              <w:rPr>
                <w:rFonts w:hAnsi="宋体"/>
                <w:sz w:val="21"/>
                <w:szCs w:val="21"/>
              </w:rPr>
              <w:t>7</w:t>
            </w:r>
            <w:r>
              <w:rPr>
                <w:rFonts w:hint="eastAsia" w:hAnsi="宋体"/>
                <w:sz w:val="21"/>
                <w:szCs w:val="21"/>
              </w:rPr>
              <w:t>）未连接静电接地夹或静电接地失效。（</w:t>
            </w:r>
            <w:r>
              <w:rPr>
                <w:rFonts w:hAnsi="宋体"/>
                <w:sz w:val="21"/>
                <w:szCs w:val="21"/>
              </w:rPr>
              <w:t>8</w:t>
            </w:r>
            <w:r>
              <w:rPr>
                <w:rFonts w:hint="eastAsia" w:hAnsi="宋体"/>
                <w:sz w:val="21"/>
                <w:szCs w:val="21"/>
              </w:rPr>
              <w:t>）油罐车卸油后盲目倒车，未注意附近情况。</w:t>
            </w:r>
          </w:p>
        </w:tc>
        <w:tc>
          <w:tcPr>
            <w:tcW w:w="2126" w:type="dxa"/>
            <w:tcBorders>
              <w:top w:val="single" w:color="auto" w:sz="4" w:space="0"/>
              <w:left w:val="single" w:color="auto" w:sz="4" w:space="0"/>
            </w:tcBorders>
            <w:vAlign w:val="center"/>
          </w:tcPr>
          <w:p w14:paraId="25D30D87">
            <w:pPr>
              <w:adjustRightInd w:val="0"/>
              <w:snapToGrid w:val="0"/>
              <w:spacing w:line="360" w:lineRule="auto"/>
              <w:rPr>
                <w:rFonts w:ascii="宋体" w:hAnsi="宋体"/>
                <w:snapToGrid w:val="0"/>
                <w:kern w:val="0"/>
                <w:szCs w:val="21"/>
              </w:rPr>
            </w:pPr>
            <w:r>
              <w:rPr>
                <w:rFonts w:hint="eastAsia" w:ascii="宋体" w:hAnsi="宋体"/>
                <w:snapToGrid w:val="0"/>
                <w:kern w:val="0"/>
                <w:szCs w:val="21"/>
              </w:rPr>
              <w:t>泄漏，火灾、爆炸，造成人员、财产损失，环境污染</w:t>
            </w:r>
          </w:p>
        </w:tc>
      </w:tr>
    </w:tbl>
    <w:p w14:paraId="221A1462">
      <w:pPr>
        <w:pStyle w:val="4"/>
        <w:spacing w:afterLines="100" w:line="500" w:lineRule="exact"/>
        <w:jc w:val="center"/>
        <w:rPr>
          <w:rFonts w:ascii="楷体_GB2312" w:hAnsi="宋体" w:eastAsia="楷体_GB2312"/>
          <w:kern w:val="3"/>
        </w:rPr>
      </w:pPr>
      <w:bookmarkStart w:id="321" w:name="_Toc100730879"/>
      <w:bookmarkStart w:id="322" w:name="_Toc71894918"/>
      <w:bookmarkStart w:id="323" w:name="_Toc355685139"/>
      <w:r>
        <w:rPr>
          <w:rFonts w:hint="eastAsia" w:ascii="楷体_GB2312" w:hAnsi="宋体" w:eastAsia="楷体_GB2312"/>
          <w:kern w:val="3"/>
        </w:rPr>
        <w:t>3.6 重大危险源辨识</w:t>
      </w:r>
      <w:bookmarkEnd w:id="321"/>
      <w:bookmarkEnd w:id="322"/>
      <w:bookmarkEnd w:id="323"/>
    </w:p>
    <w:p w14:paraId="70019B2C">
      <w:pPr>
        <w:pStyle w:val="4"/>
        <w:spacing w:afterLines="100" w:line="500" w:lineRule="exact"/>
        <w:rPr>
          <w:rFonts w:ascii="黑体" w:hAnsi="宋体"/>
          <w:kern w:val="3"/>
          <w:sz w:val="28"/>
          <w:szCs w:val="28"/>
        </w:rPr>
      </w:pPr>
      <w:bookmarkStart w:id="324" w:name="_Toc71894919"/>
      <w:bookmarkStart w:id="325" w:name="_Toc17080"/>
      <w:bookmarkStart w:id="326" w:name="_Toc46241179"/>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.1辨识依据</w:t>
      </w:r>
      <w:bookmarkEnd w:id="324"/>
      <w:bookmarkEnd w:id="325"/>
      <w:bookmarkEnd w:id="326"/>
    </w:p>
    <w:p w14:paraId="74463038">
      <w:pPr>
        <w:spacing w:line="500" w:lineRule="exact"/>
        <w:ind w:firstLine="560" w:firstLineChars="200"/>
        <w:rPr>
          <w:sz w:val="28"/>
          <w:szCs w:val="28"/>
        </w:rPr>
      </w:pPr>
      <w:r>
        <w:rPr>
          <w:sz w:val="28"/>
          <w:szCs w:val="28"/>
        </w:rPr>
        <w:t>根据《危险化学品目录》（</w:t>
      </w:r>
      <w:r>
        <w:rPr>
          <w:rFonts w:hint="eastAsia"/>
          <w:sz w:val="28"/>
          <w:szCs w:val="28"/>
          <w:lang w:val="en-US" w:eastAsia="zh-CN"/>
        </w:rPr>
        <w:t>2022调整版</w:t>
      </w:r>
      <w:r>
        <w:rPr>
          <w:sz w:val="28"/>
          <w:szCs w:val="28"/>
        </w:rPr>
        <w:t>）的有关规定，汽油</w:t>
      </w:r>
      <w:r>
        <w:rPr>
          <w:rFonts w:hint="eastAsia"/>
          <w:sz w:val="28"/>
          <w:szCs w:val="28"/>
        </w:rPr>
        <w:t>、柴油</w:t>
      </w:r>
      <w:r>
        <w:rPr>
          <w:sz w:val="28"/>
          <w:szCs w:val="28"/>
        </w:rPr>
        <w:t>属于危险化学品。因此，本次评价对汽油和柴油进行危险化学品重大危险源辨识。</w:t>
      </w:r>
    </w:p>
    <w:p w14:paraId="611D855E">
      <w:pPr>
        <w:suppressAutoHyphens/>
        <w:adjustRightInd w:val="0"/>
        <w:snapToGrid w:val="0"/>
        <w:spacing w:line="500" w:lineRule="exact"/>
        <w:ind w:firstLine="560" w:firstLineChars="200"/>
        <w:rPr>
          <w:bCs/>
          <w:kern w:val="0"/>
          <w:sz w:val="28"/>
          <w:szCs w:val="28"/>
        </w:rPr>
      </w:pPr>
      <w:r>
        <w:rPr>
          <w:bCs/>
          <w:kern w:val="0"/>
          <w:sz w:val="28"/>
          <w:szCs w:val="28"/>
        </w:rPr>
        <w:t>按照《危险化学品重大危险源辨识》（GB18218-20</w:t>
      </w:r>
      <w:r>
        <w:rPr>
          <w:rFonts w:hint="eastAsia"/>
          <w:bCs/>
          <w:kern w:val="0"/>
          <w:sz w:val="28"/>
          <w:szCs w:val="28"/>
        </w:rPr>
        <w:t>18</w:t>
      </w:r>
      <w:r>
        <w:rPr>
          <w:bCs/>
          <w:kern w:val="0"/>
          <w:sz w:val="28"/>
          <w:szCs w:val="28"/>
        </w:rPr>
        <w:t>）规定，单元内存在的危险化学品为多品种时，按式（1）计算，若满足式（1），则定为重大危险源：</w:t>
      </w:r>
    </w:p>
    <w:p w14:paraId="5BEF3334">
      <w:pPr>
        <w:adjustRightInd w:val="0"/>
        <w:snapToGrid w:val="0"/>
        <w:spacing w:line="500" w:lineRule="exact"/>
        <w:ind w:right="48" w:rightChars="23" w:firstLine="537" w:firstLineChars="192"/>
        <w:rPr>
          <w:b/>
          <w:bCs/>
          <w:kern w:val="0"/>
          <w:sz w:val="28"/>
          <w:szCs w:val="28"/>
        </w:rPr>
      </w:pPr>
      <w:r>
        <w:rPr>
          <w:bCs/>
          <w:i/>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 xml:space="preserve">+  </w:t>
      </w:r>
      <w:r>
        <w:rPr>
          <w:bCs/>
          <w:i/>
          <w:kern w:val="0"/>
          <w:sz w:val="28"/>
          <w:szCs w:val="28"/>
        </w:rPr>
        <w:t>q</w:t>
      </w:r>
      <w:r>
        <w:rPr>
          <w:bCs/>
          <w:kern w:val="0"/>
          <w:sz w:val="28"/>
          <w:szCs w:val="28"/>
          <w:vertAlign w:val="subscript"/>
        </w:rPr>
        <w:t>n</w:t>
      </w:r>
      <w:r>
        <w:rPr>
          <w:bCs/>
          <w:kern w:val="0"/>
          <w:sz w:val="28"/>
          <w:szCs w:val="28"/>
        </w:rPr>
        <w:t>/Q</w:t>
      </w:r>
      <w:r>
        <w:rPr>
          <w:bCs/>
          <w:kern w:val="0"/>
          <w:sz w:val="28"/>
          <w:szCs w:val="28"/>
          <w:vertAlign w:val="subscript"/>
        </w:rPr>
        <w:t>n</w:t>
      </w:r>
      <w:r>
        <w:rPr>
          <w:bCs/>
          <w:kern w:val="0"/>
          <w:sz w:val="28"/>
          <w:szCs w:val="28"/>
        </w:rPr>
        <w:t>≥1</w:t>
      </w:r>
      <w:r>
        <w:rPr>
          <w:rFonts w:eastAsia="DFKai-SB"/>
          <w:bCs/>
          <w:kern w:val="0"/>
          <w:sz w:val="28"/>
          <w:szCs w:val="28"/>
        </w:rPr>
        <w:t>…………………</w:t>
      </w:r>
      <w:r>
        <w:rPr>
          <w:bCs/>
          <w:kern w:val="0"/>
          <w:sz w:val="28"/>
          <w:szCs w:val="28"/>
        </w:rPr>
        <w:t>（1）</w:t>
      </w:r>
    </w:p>
    <w:p w14:paraId="67BEF567">
      <w:pPr>
        <w:adjustRightInd w:val="0"/>
        <w:snapToGrid w:val="0"/>
        <w:spacing w:line="500" w:lineRule="exact"/>
        <w:ind w:right="48" w:rightChars="23" w:firstLine="537" w:firstLineChars="192"/>
        <w:rPr>
          <w:bCs/>
          <w:kern w:val="0"/>
          <w:sz w:val="28"/>
          <w:szCs w:val="28"/>
        </w:rPr>
      </w:pPr>
      <w:r>
        <w:rPr>
          <w:bCs/>
          <w:kern w:val="0"/>
          <w:sz w:val="28"/>
          <w:szCs w:val="28"/>
        </w:rPr>
        <w:t>式中：</w:t>
      </w:r>
    </w:p>
    <w:p w14:paraId="653949FE">
      <w:pPr>
        <w:adjustRightInd w:val="0"/>
        <w:snapToGrid w:val="0"/>
        <w:spacing w:line="500" w:lineRule="exact"/>
        <w:ind w:right="48" w:rightChars="23" w:firstLine="537" w:firstLineChars="192"/>
        <w:rPr>
          <w:bCs/>
          <w:kern w:val="0"/>
          <w:sz w:val="28"/>
          <w:szCs w:val="28"/>
        </w:rPr>
      </w:pPr>
      <w:r>
        <w:rPr>
          <w:bCs/>
          <w:i/>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w:t>
      </w:r>
      <w:r>
        <w:rPr>
          <w:bCs/>
          <w:i/>
          <w:kern w:val="0"/>
          <w:sz w:val="28"/>
          <w:szCs w:val="28"/>
        </w:rPr>
        <w:t>q</w:t>
      </w:r>
      <w:r>
        <w:rPr>
          <w:bCs/>
          <w:kern w:val="0"/>
          <w:sz w:val="28"/>
          <w:szCs w:val="28"/>
          <w:vertAlign w:val="subscript"/>
        </w:rPr>
        <w:t>n</w:t>
      </w:r>
      <w:r>
        <w:rPr>
          <w:bCs/>
          <w:kern w:val="0"/>
          <w:sz w:val="28"/>
          <w:szCs w:val="28"/>
        </w:rPr>
        <w:t>－每种危险化学品实际存在量，单位为吨（t）；</w:t>
      </w:r>
    </w:p>
    <w:p w14:paraId="67D0A1CE">
      <w:pPr>
        <w:adjustRightInd w:val="0"/>
        <w:snapToGrid w:val="0"/>
        <w:spacing w:line="500" w:lineRule="exact"/>
        <w:ind w:right="48" w:rightChars="23" w:firstLine="537" w:firstLineChars="192"/>
        <w:rPr>
          <w:bCs/>
          <w:kern w:val="0"/>
          <w:sz w:val="28"/>
          <w:szCs w:val="28"/>
        </w:rPr>
      </w:pPr>
      <w:r>
        <w:rPr>
          <w:bCs/>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，Q</w:t>
      </w:r>
      <w:r>
        <w:rPr>
          <w:bCs/>
          <w:kern w:val="0"/>
          <w:sz w:val="28"/>
          <w:szCs w:val="28"/>
          <w:vertAlign w:val="subscript"/>
        </w:rPr>
        <w:t>n</w:t>
      </w:r>
      <w:r>
        <w:rPr>
          <w:bCs/>
          <w:kern w:val="0"/>
          <w:sz w:val="28"/>
          <w:szCs w:val="28"/>
        </w:rPr>
        <w:t>－与各危险化学品相对的临界量，单位为吨（t）。</w:t>
      </w:r>
    </w:p>
    <w:p w14:paraId="593F8243">
      <w:pPr>
        <w:adjustRightInd w:val="0"/>
        <w:snapToGrid w:val="0"/>
        <w:spacing w:line="500" w:lineRule="exact"/>
        <w:ind w:firstLine="560" w:firstLineChars="200"/>
        <w:rPr>
          <w:bCs/>
          <w:kern w:val="0"/>
          <w:sz w:val="28"/>
          <w:szCs w:val="28"/>
        </w:rPr>
      </w:pPr>
      <w:r>
        <w:rPr>
          <w:sz w:val="28"/>
          <w:szCs w:val="28"/>
        </w:rPr>
        <w:t>根据</w:t>
      </w:r>
      <w:r>
        <w:rPr>
          <w:sz w:val="28"/>
          <w:szCs w:val="20"/>
        </w:rPr>
        <w:t>《危险化学品重大危险源辨识》（GB18218-20</w:t>
      </w:r>
      <w:r>
        <w:rPr>
          <w:rFonts w:hint="eastAsia"/>
          <w:sz w:val="28"/>
          <w:szCs w:val="20"/>
        </w:rPr>
        <w:t>18</w:t>
      </w:r>
      <w:r>
        <w:rPr>
          <w:sz w:val="28"/>
          <w:szCs w:val="20"/>
        </w:rPr>
        <w:t>）的有关规定</w:t>
      </w:r>
      <w:r>
        <w:rPr>
          <w:sz w:val="28"/>
          <w:szCs w:val="28"/>
        </w:rPr>
        <w:t>，汽油构成重大危险源的临界量为200t，柴油构成重大危险源的临界量为5000吨。</w:t>
      </w:r>
    </w:p>
    <w:p w14:paraId="29FAA0C6">
      <w:pPr>
        <w:pStyle w:val="4"/>
        <w:spacing w:afterLines="100" w:line="500" w:lineRule="exact"/>
        <w:rPr>
          <w:rFonts w:ascii="黑体" w:hAnsi="宋体"/>
          <w:kern w:val="3"/>
          <w:sz w:val="28"/>
          <w:szCs w:val="28"/>
        </w:rPr>
      </w:pPr>
      <w:bookmarkStart w:id="327" w:name="_Toc46241180"/>
      <w:bookmarkStart w:id="328" w:name="_Toc2272"/>
      <w:bookmarkStart w:id="329" w:name="_Toc71894920"/>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.2辨识计算</w:t>
      </w:r>
      <w:bookmarkEnd w:id="327"/>
      <w:bookmarkEnd w:id="328"/>
      <w:bookmarkEnd w:id="329"/>
    </w:p>
    <w:p w14:paraId="0C5AE51C">
      <w:pPr>
        <w:pStyle w:val="11"/>
        <w:spacing w:line="500" w:lineRule="exact"/>
        <w:ind w:firstLine="750" w:firstLineChars="250"/>
        <w:rPr>
          <w:rFonts w:ascii="宋体" w:hAnsi="宋体"/>
          <w:sz w:val="28"/>
        </w:rPr>
      </w:pPr>
      <w:r>
        <w:rPr>
          <w:rFonts w:hint="eastAsia" w:ascii="宋体" w:hAnsi="宋体"/>
          <w:sz w:val="28"/>
          <w:szCs w:val="28"/>
        </w:rPr>
        <w:t>该加油站目前</w:t>
      </w:r>
      <w:r>
        <w:rPr>
          <w:rFonts w:ascii="宋体" w:hAnsi="宋体"/>
          <w:sz w:val="28"/>
        </w:rPr>
        <w:t>建有</w:t>
      </w:r>
      <w:r>
        <w:rPr>
          <w:rFonts w:hint="eastAsia" w:ascii="宋体" w:hAnsi="宋体"/>
          <w:sz w:val="28"/>
          <w:szCs w:val="28"/>
        </w:rPr>
        <w:t>埋地油罐</w:t>
      </w:r>
      <w:r>
        <w:rPr>
          <w:rFonts w:hint="eastAsia" w:ascii="宋体" w:hAnsi="宋体"/>
          <w:sz w:val="28"/>
          <w:lang w:val="en-US" w:eastAsia="zh-CN"/>
        </w:rPr>
        <w:t>5</w:t>
      </w:r>
      <w:r>
        <w:rPr>
          <w:rFonts w:hint="eastAsia" w:ascii="宋体" w:hAnsi="宋体"/>
          <w:sz w:val="28"/>
        </w:rPr>
        <w:t>0m</w:t>
      </w:r>
      <w:r>
        <w:rPr>
          <w:rFonts w:hint="eastAsia" w:ascii="宋体" w:hAnsi="宋体"/>
          <w:sz w:val="28"/>
          <w:szCs w:val="28"/>
          <w:vertAlign w:val="superscript"/>
        </w:rPr>
        <w:t>3</w:t>
      </w:r>
      <w:r>
        <w:rPr>
          <w:rFonts w:hint="eastAsia" w:ascii="宋体" w:hAnsi="宋体"/>
          <w:sz w:val="28"/>
        </w:rPr>
        <w:t>柴油罐1座</w:t>
      </w:r>
      <w:r>
        <w:rPr>
          <w:rFonts w:hint="eastAsia" w:ascii="宋体" w:hAnsi="宋体"/>
          <w:sz w:val="28"/>
          <w:lang w:val="en-US" w:eastAsia="zh-CN"/>
        </w:rPr>
        <w:t>、3</w:t>
      </w:r>
      <w:r>
        <w:rPr>
          <w:rFonts w:hint="eastAsia" w:ascii="宋体" w:hAnsi="宋体"/>
          <w:sz w:val="28"/>
        </w:rPr>
        <w:t>0m</w:t>
      </w:r>
      <w:r>
        <w:rPr>
          <w:rFonts w:hint="eastAsia" w:ascii="宋体" w:hAnsi="宋体"/>
          <w:sz w:val="28"/>
          <w:szCs w:val="28"/>
          <w:vertAlign w:val="superscript"/>
        </w:rPr>
        <w:t>3</w:t>
      </w:r>
      <w:r>
        <w:rPr>
          <w:rFonts w:hint="eastAsia" w:ascii="宋体" w:hAnsi="宋体"/>
          <w:sz w:val="28"/>
        </w:rPr>
        <w:t>92</w:t>
      </w:r>
      <w:r>
        <w:rPr>
          <w:rFonts w:hint="eastAsia" w:ascii="宋体" w:hAnsi="宋体"/>
          <w:sz w:val="28"/>
          <w:szCs w:val="28"/>
          <w:vertAlign w:val="superscript"/>
        </w:rPr>
        <w:t>#</w:t>
      </w:r>
      <w:r>
        <w:rPr>
          <w:rFonts w:hint="eastAsia" w:ascii="宋体" w:hAnsi="宋体"/>
          <w:sz w:val="28"/>
        </w:rPr>
        <w:t>汽油罐</w:t>
      </w:r>
      <w:r>
        <w:rPr>
          <w:rFonts w:hint="eastAsia" w:ascii="宋体" w:hAnsi="宋体"/>
          <w:sz w:val="28"/>
          <w:lang w:val="en-US" w:eastAsia="zh-CN"/>
        </w:rPr>
        <w:t>1</w:t>
      </w:r>
      <w:r>
        <w:rPr>
          <w:rFonts w:hint="eastAsia" w:ascii="宋体" w:hAnsi="宋体"/>
          <w:sz w:val="28"/>
        </w:rPr>
        <w:t>座</w:t>
      </w:r>
      <w:r>
        <w:rPr>
          <w:rFonts w:hint="eastAsia" w:ascii="宋体" w:hAnsi="宋体"/>
          <w:sz w:val="28"/>
          <w:lang w:val="en-US" w:eastAsia="zh-CN"/>
        </w:rPr>
        <w:t>、3</w:t>
      </w:r>
      <w:r>
        <w:rPr>
          <w:rFonts w:hint="eastAsia" w:ascii="宋体" w:hAnsi="宋体"/>
          <w:sz w:val="28"/>
        </w:rPr>
        <w:t>0m</w:t>
      </w:r>
      <w:r>
        <w:rPr>
          <w:rFonts w:hint="eastAsia" w:ascii="宋体" w:hAnsi="宋体"/>
          <w:sz w:val="28"/>
          <w:szCs w:val="28"/>
          <w:vertAlign w:val="superscript"/>
        </w:rPr>
        <w:t>3</w:t>
      </w:r>
      <w:r>
        <w:rPr>
          <w:rFonts w:hint="eastAsia" w:ascii="宋体" w:hAnsi="宋体"/>
          <w:sz w:val="28"/>
        </w:rPr>
        <w:t>9</w:t>
      </w:r>
      <w:r>
        <w:rPr>
          <w:rFonts w:hint="eastAsia" w:ascii="宋体" w:hAnsi="宋体"/>
          <w:sz w:val="28"/>
          <w:lang w:val="en-US" w:eastAsia="zh-CN"/>
        </w:rPr>
        <w:t>5</w:t>
      </w:r>
      <w:r>
        <w:rPr>
          <w:rFonts w:hint="eastAsia" w:ascii="宋体" w:hAnsi="宋体"/>
          <w:sz w:val="28"/>
          <w:szCs w:val="28"/>
          <w:vertAlign w:val="superscript"/>
        </w:rPr>
        <w:t>#</w:t>
      </w:r>
      <w:r>
        <w:rPr>
          <w:rFonts w:hint="eastAsia" w:ascii="宋体" w:hAnsi="宋体"/>
          <w:sz w:val="28"/>
        </w:rPr>
        <w:t>汽油罐</w:t>
      </w:r>
      <w:r>
        <w:rPr>
          <w:rFonts w:hint="eastAsia" w:ascii="宋体" w:hAnsi="宋体"/>
          <w:sz w:val="28"/>
          <w:lang w:val="en-US" w:eastAsia="zh-CN"/>
        </w:rPr>
        <w:t>1</w:t>
      </w:r>
      <w:r>
        <w:rPr>
          <w:rFonts w:hint="eastAsia" w:ascii="宋体" w:hAnsi="宋体"/>
          <w:sz w:val="28"/>
        </w:rPr>
        <w:t>座</w:t>
      </w:r>
      <w:r>
        <w:rPr>
          <w:rFonts w:hint="eastAsia" w:ascii="宋体" w:hAnsi="宋体"/>
          <w:sz w:val="28"/>
          <w:szCs w:val="28"/>
        </w:rPr>
        <w:t>，</w:t>
      </w:r>
      <w:r>
        <w:rPr>
          <w:rFonts w:ascii="宋体" w:hAnsi="宋体"/>
          <w:sz w:val="28"/>
        </w:rPr>
        <w:t>柴油、汽油的密度分别为0.85×10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、0.725×10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；按</w:t>
      </w:r>
      <w:r>
        <w:rPr>
          <w:rFonts w:hint="eastAsia" w:ascii="宋体" w:hAnsi="宋体"/>
          <w:sz w:val="28"/>
        </w:rPr>
        <w:t>满罐</w:t>
      </w:r>
      <w:r>
        <w:rPr>
          <w:rFonts w:ascii="宋体" w:hAnsi="宋体"/>
          <w:sz w:val="28"/>
        </w:rPr>
        <w:t>计算</w:t>
      </w:r>
      <w:r>
        <w:rPr>
          <w:rFonts w:hint="eastAsia" w:ascii="宋体" w:hAnsi="宋体"/>
          <w:sz w:val="28"/>
        </w:rPr>
        <w:t>：</w:t>
      </w:r>
    </w:p>
    <w:p w14:paraId="5D811E73">
      <w:pPr>
        <w:spacing w:line="500" w:lineRule="exact"/>
        <w:ind w:right="48" w:rightChars="23" w:firstLine="537" w:firstLineChars="192"/>
        <w:rPr>
          <w:rFonts w:ascii="宋体" w:hAnsi="宋体"/>
          <w:color w:val="000000"/>
          <w:sz w:val="28"/>
          <w:szCs w:val="28"/>
        </w:rPr>
      </w:pPr>
      <w:bookmarkStart w:id="330" w:name="_Toc71894921"/>
      <w:bookmarkStart w:id="331" w:name="_Toc46241181"/>
      <w:bookmarkStart w:id="332" w:name="_Toc7196"/>
      <w:r>
        <w:rPr>
          <w:rFonts w:hint="eastAsia" w:ascii="宋体" w:hAnsi="宋体"/>
          <w:color w:val="000000"/>
          <w:kern w:val="3"/>
          <w:sz w:val="28"/>
          <w:szCs w:val="28"/>
          <w:lang w:eastAsia="zh-CN"/>
        </w:rPr>
        <w:t>盐津县豆沙狮子湾加油站</w:t>
      </w:r>
      <w:r>
        <w:rPr>
          <w:rFonts w:ascii="宋体" w:hAnsi="宋体"/>
          <w:color w:val="000000"/>
          <w:sz w:val="28"/>
          <w:szCs w:val="28"/>
        </w:rPr>
        <w:t>汽油的实际存在量为：</w:t>
      </w:r>
    </w:p>
    <w:p w14:paraId="16462C8E">
      <w:pPr>
        <w:spacing w:line="500" w:lineRule="exact"/>
        <w:ind w:right="48" w:rightChars="23" w:firstLine="537" w:firstLineChars="192"/>
        <w:rPr>
          <w:rFonts w:ascii="宋体" w:hAnsi="宋体"/>
          <w:color w:val="000000"/>
          <w:sz w:val="28"/>
          <w:szCs w:val="28"/>
        </w:rPr>
      </w:pPr>
      <w:r>
        <w:rPr>
          <w:rFonts w:ascii="宋体" w:hAnsi="宋体"/>
          <w:color w:val="000000"/>
          <w:sz w:val="28"/>
          <w:szCs w:val="28"/>
        </w:rPr>
        <w:t>汽油总储量*汽油密度（0.725）＝</w:t>
      </w:r>
      <w:r>
        <w:rPr>
          <w:rFonts w:hint="eastAsia" w:ascii="宋体" w:hAnsi="宋体"/>
          <w:color w:val="000000"/>
          <w:sz w:val="28"/>
          <w:szCs w:val="28"/>
          <w:lang w:val="en-US" w:eastAsia="zh-CN"/>
        </w:rPr>
        <w:t>6</w:t>
      </w:r>
      <w:r>
        <w:rPr>
          <w:rFonts w:hint="eastAsia" w:ascii="宋体" w:hAnsi="宋体"/>
          <w:color w:val="000000"/>
          <w:sz w:val="28"/>
          <w:szCs w:val="28"/>
        </w:rPr>
        <w:t>0</w:t>
      </w:r>
      <w:r>
        <w:rPr>
          <w:rFonts w:ascii="宋体" w:hAnsi="宋体"/>
          <w:color w:val="000000"/>
          <w:sz w:val="28"/>
          <w:szCs w:val="28"/>
        </w:rPr>
        <w:t>m</w:t>
      </w:r>
      <w:r>
        <w:rPr>
          <w:rFonts w:ascii="宋体" w:hAnsi="宋体"/>
          <w:color w:val="000000"/>
          <w:sz w:val="28"/>
          <w:szCs w:val="28"/>
          <w:vertAlign w:val="superscript"/>
        </w:rPr>
        <w:t xml:space="preserve">3 </w:t>
      </w:r>
      <w:r>
        <w:rPr>
          <w:rFonts w:ascii="宋体" w:hAnsi="宋体"/>
          <w:color w:val="000000"/>
          <w:sz w:val="28"/>
          <w:szCs w:val="28"/>
        </w:rPr>
        <w:t>x 0.7</w:t>
      </w:r>
      <w:r>
        <w:rPr>
          <w:rFonts w:hint="eastAsia" w:ascii="宋体" w:hAnsi="宋体"/>
          <w:color w:val="000000"/>
          <w:sz w:val="28"/>
          <w:szCs w:val="28"/>
        </w:rPr>
        <w:t>2</w:t>
      </w:r>
      <w:r>
        <w:rPr>
          <w:rFonts w:ascii="宋体" w:hAnsi="宋体"/>
          <w:color w:val="000000"/>
          <w:sz w:val="28"/>
          <w:szCs w:val="28"/>
        </w:rPr>
        <w:t>5=</w:t>
      </w:r>
      <w:r>
        <w:rPr>
          <w:rFonts w:hint="eastAsia" w:ascii="宋体" w:hAnsi="宋体"/>
          <w:color w:val="000000"/>
          <w:sz w:val="28"/>
          <w:szCs w:val="28"/>
          <w:lang w:val="en-US" w:eastAsia="zh-CN"/>
        </w:rPr>
        <w:t>43.5</w:t>
      </w:r>
      <w:r>
        <w:rPr>
          <w:rFonts w:hint="eastAsia" w:ascii="宋体" w:hAnsi="宋体"/>
          <w:color w:val="000000"/>
          <w:sz w:val="28"/>
          <w:szCs w:val="28"/>
        </w:rPr>
        <w:t>(</w:t>
      </w:r>
      <w:r>
        <w:rPr>
          <w:rFonts w:ascii="宋体" w:hAnsi="宋体"/>
          <w:color w:val="000000"/>
          <w:sz w:val="28"/>
          <w:szCs w:val="28"/>
        </w:rPr>
        <w:t>t)。</w:t>
      </w:r>
    </w:p>
    <w:p w14:paraId="59ED05F2">
      <w:pPr>
        <w:adjustRightInd w:val="0"/>
        <w:snapToGrid w:val="0"/>
        <w:spacing w:line="500" w:lineRule="exact"/>
        <w:ind w:right="48" w:rightChars="23" w:firstLine="537" w:firstLineChars="192"/>
        <w:rPr>
          <w:rFonts w:ascii="宋体" w:hAnsi="宋体"/>
          <w:bCs/>
          <w:color w:val="000000"/>
          <w:kern w:val="0"/>
          <w:sz w:val="28"/>
          <w:szCs w:val="28"/>
        </w:rPr>
      </w:pPr>
      <w:r>
        <w:rPr>
          <w:rFonts w:hint="eastAsia" w:ascii="宋体" w:hAnsi="宋体"/>
          <w:color w:val="000000"/>
          <w:kern w:val="3"/>
          <w:sz w:val="28"/>
          <w:szCs w:val="28"/>
          <w:lang w:eastAsia="zh-CN"/>
        </w:rPr>
        <w:t>盐津县豆沙狮子湾加油站</w:t>
      </w:r>
      <w:r>
        <w:rPr>
          <w:rFonts w:ascii="宋体" w:hAnsi="宋体"/>
          <w:color w:val="000000"/>
          <w:sz w:val="28"/>
          <w:szCs w:val="28"/>
        </w:rPr>
        <w:t>柴油的实际存在量为：</w:t>
      </w:r>
    </w:p>
    <w:p w14:paraId="17EC3BCB">
      <w:pPr>
        <w:adjustRightInd w:val="0"/>
        <w:snapToGrid w:val="0"/>
        <w:spacing w:line="500" w:lineRule="exact"/>
        <w:ind w:right="48" w:rightChars="23" w:firstLine="537" w:firstLineChars="192"/>
        <w:rPr>
          <w:rFonts w:ascii="宋体" w:hAnsi="宋体"/>
          <w:color w:val="000000"/>
          <w:sz w:val="28"/>
        </w:rPr>
      </w:pPr>
      <w:r>
        <w:rPr>
          <w:rFonts w:ascii="宋体" w:hAnsi="宋体"/>
          <w:bCs/>
          <w:color w:val="000000"/>
          <w:kern w:val="0"/>
          <w:sz w:val="28"/>
          <w:szCs w:val="28"/>
        </w:rPr>
        <w:t>柴油总储量*柴油密度（0.85）＝</w:t>
      </w:r>
      <w:r>
        <w:rPr>
          <w:rFonts w:hint="eastAsia" w:ascii="宋体" w:hAnsi="宋体"/>
          <w:bCs/>
          <w:color w:val="000000"/>
          <w:kern w:val="0"/>
          <w:sz w:val="28"/>
          <w:szCs w:val="28"/>
          <w:lang w:val="en-US" w:eastAsia="zh-CN"/>
        </w:rPr>
        <w:t>5</w:t>
      </w:r>
      <w:r>
        <w:rPr>
          <w:rFonts w:hint="eastAsia" w:ascii="宋体" w:hAnsi="宋体"/>
          <w:bCs/>
          <w:color w:val="000000"/>
          <w:kern w:val="0"/>
          <w:sz w:val="28"/>
          <w:szCs w:val="28"/>
        </w:rPr>
        <w:t>0</w:t>
      </w:r>
      <w:r>
        <w:rPr>
          <w:rFonts w:ascii="宋体" w:hAnsi="宋体"/>
          <w:color w:val="000000"/>
          <w:sz w:val="28"/>
          <w:szCs w:val="28"/>
        </w:rPr>
        <w:t>m</w:t>
      </w:r>
      <w:r>
        <w:rPr>
          <w:rFonts w:ascii="宋体" w:hAnsi="宋体"/>
          <w:color w:val="000000"/>
          <w:sz w:val="28"/>
          <w:szCs w:val="28"/>
          <w:vertAlign w:val="superscript"/>
        </w:rPr>
        <w:t>3</w:t>
      </w:r>
      <w:r>
        <w:rPr>
          <w:rFonts w:ascii="宋体" w:hAnsi="宋体"/>
          <w:color w:val="000000"/>
          <w:sz w:val="28"/>
          <w:szCs w:val="28"/>
        </w:rPr>
        <w:t xml:space="preserve"> x 0.</w:t>
      </w:r>
      <w:r>
        <w:rPr>
          <w:rFonts w:hint="eastAsia" w:ascii="宋体" w:hAnsi="宋体"/>
          <w:color w:val="000000"/>
          <w:sz w:val="28"/>
          <w:szCs w:val="28"/>
        </w:rPr>
        <w:t>85</w:t>
      </w:r>
      <w:r>
        <w:rPr>
          <w:rFonts w:ascii="宋体" w:hAnsi="宋体"/>
          <w:color w:val="000000"/>
          <w:sz w:val="28"/>
          <w:szCs w:val="28"/>
        </w:rPr>
        <w:t>＝</w:t>
      </w:r>
      <w:r>
        <w:rPr>
          <w:rFonts w:hint="eastAsia" w:ascii="宋体" w:hAnsi="宋体"/>
          <w:color w:val="000000"/>
          <w:sz w:val="28"/>
          <w:szCs w:val="28"/>
          <w:lang w:val="en-US" w:eastAsia="zh-CN"/>
        </w:rPr>
        <w:t>42.5</w:t>
      </w:r>
      <w:r>
        <w:rPr>
          <w:rFonts w:hint="eastAsia" w:ascii="宋体" w:hAnsi="宋体"/>
          <w:color w:val="000000"/>
          <w:sz w:val="28"/>
          <w:szCs w:val="28"/>
        </w:rPr>
        <w:t>（t）</w:t>
      </w:r>
      <w:r>
        <w:rPr>
          <w:rFonts w:ascii="宋体" w:hAnsi="宋体"/>
          <w:color w:val="000000"/>
          <w:sz w:val="28"/>
          <w:szCs w:val="28"/>
        </w:rPr>
        <w:t>。</w:t>
      </w:r>
    </w:p>
    <w:p w14:paraId="20D62959">
      <w:pPr>
        <w:pStyle w:val="11"/>
        <w:spacing w:line="500" w:lineRule="exact"/>
        <w:ind w:firstLine="600"/>
        <w:rPr>
          <w:rFonts w:ascii="宋体" w:hAnsi="宋体"/>
          <w:color w:val="000000"/>
          <w:sz w:val="28"/>
        </w:rPr>
      </w:pPr>
      <w:r>
        <w:rPr>
          <w:rFonts w:ascii="宋体" w:hAnsi="宋体"/>
          <w:color w:val="000000"/>
          <w:sz w:val="28"/>
        </w:rPr>
        <w:t>根据《危险化学品重大危险源辨识》（GB18218-20</w:t>
      </w:r>
      <w:r>
        <w:rPr>
          <w:rFonts w:hint="eastAsia" w:ascii="宋体" w:hAnsi="宋体"/>
          <w:color w:val="000000"/>
          <w:sz w:val="28"/>
        </w:rPr>
        <w:t>18</w:t>
      </w:r>
      <w:r>
        <w:rPr>
          <w:rFonts w:ascii="宋体" w:hAnsi="宋体"/>
          <w:color w:val="000000"/>
          <w:sz w:val="28"/>
        </w:rPr>
        <w:t>）给出的汽油、柴油储存临界量与该加油站的实存油品量的对比可知：</w:t>
      </w:r>
    </w:p>
    <w:p w14:paraId="4D1288FA">
      <w:pPr>
        <w:pStyle w:val="11"/>
        <w:spacing w:line="500" w:lineRule="exact"/>
        <w:ind w:firstLine="600"/>
        <w:jc w:val="center"/>
        <w:rPr>
          <w:rFonts w:ascii="宋体" w:hAnsi="宋体"/>
          <w:bCs/>
          <w:color w:val="000000"/>
          <w:sz w:val="28"/>
          <w:szCs w:val="28"/>
        </w:rPr>
      </w:pPr>
      <w:r>
        <w:rPr>
          <w:rFonts w:ascii="宋体" w:hAnsi="宋体"/>
          <w:bCs/>
          <w:color w:val="000000"/>
          <w:sz w:val="28"/>
          <w:szCs w:val="28"/>
        </w:rPr>
        <w:t>表3-</w:t>
      </w:r>
      <w:r>
        <w:rPr>
          <w:rFonts w:hint="eastAsia" w:ascii="宋体" w:hAnsi="宋体"/>
          <w:bCs/>
          <w:color w:val="000000"/>
          <w:sz w:val="28"/>
          <w:szCs w:val="28"/>
        </w:rPr>
        <w:t>6</w:t>
      </w:r>
      <w:r>
        <w:rPr>
          <w:rFonts w:ascii="宋体" w:hAnsi="宋体"/>
          <w:bCs/>
          <w:color w:val="000000"/>
          <w:sz w:val="28"/>
          <w:szCs w:val="28"/>
        </w:rPr>
        <w:t xml:space="preserve"> 汽油的储存量与临界量对比表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0"/>
        <w:gridCol w:w="2480"/>
        <w:gridCol w:w="2892"/>
      </w:tblGrid>
      <w:tr w14:paraId="41AA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restart"/>
            <w:vAlign w:val="center"/>
          </w:tcPr>
          <w:p w14:paraId="7869F1DD">
            <w:pPr>
              <w:adjustRightInd w:val="0"/>
              <w:snapToGrid w:val="0"/>
              <w:ind w:firstLine="420" w:firstLineChars="200"/>
              <w:jc w:val="center"/>
              <w:rPr>
                <w:rFonts w:ascii="宋体" w:hAnsi="宋体"/>
                <w:bCs/>
                <w:color w:val="000000"/>
                <w:szCs w:val="21"/>
              </w:rPr>
            </w:pPr>
            <w:r>
              <w:rPr>
                <w:rFonts w:ascii="宋体" w:hAnsi="宋体"/>
                <w:bCs/>
                <w:color w:val="000000"/>
                <w:szCs w:val="21"/>
              </w:rPr>
              <w:t>物质名称</w:t>
            </w:r>
          </w:p>
        </w:tc>
        <w:tc>
          <w:tcPr>
            <w:tcW w:w="5372" w:type="dxa"/>
            <w:gridSpan w:val="2"/>
            <w:vAlign w:val="center"/>
          </w:tcPr>
          <w:p w14:paraId="5426C8AB">
            <w:pPr>
              <w:adjustRightInd w:val="0"/>
              <w:snapToGrid w:val="0"/>
              <w:jc w:val="center"/>
              <w:rPr>
                <w:rFonts w:ascii="宋体" w:hAnsi="宋体"/>
                <w:bCs/>
                <w:color w:val="000000"/>
                <w:szCs w:val="21"/>
              </w:rPr>
            </w:pPr>
            <w:r>
              <w:rPr>
                <w:rFonts w:ascii="宋体" w:hAnsi="宋体"/>
                <w:color w:val="000000"/>
                <w:szCs w:val="21"/>
              </w:rPr>
              <w:t>贮存区</w:t>
            </w:r>
          </w:p>
        </w:tc>
      </w:tr>
      <w:tr w14:paraId="3B47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continue"/>
            <w:vAlign w:val="center"/>
          </w:tcPr>
          <w:p w14:paraId="7DEE2641">
            <w:pPr>
              <w:adjustRightInd w:val="0"/>
              <w:snapToGrid w:val="0"/>
              <w:ind w:firstLine="420" w:firstLineChars="200"/>
              <w:jc w:val="center"/>
              <w:rPr>
                <w:rFonts w:ascii="宋体" w:hAnsi="宋体"/>
                <w:color w:val="000000"/>
                <w:szCs w:val="21"/>
              </w:rPr>
            </w:pPr>
          </w:p>
        </w:tc>
        <w:tc>
          <w:tcPr>
            <w:tcW w:w="2480" w:type="dxa"/>
            <w:vAlign w:val="center"/>
          </w:tcPr>
          <w:p w14:paraId="69E4D978">
            <w:pPr>
              <w:adjustRightInd w:val="0"/>
              <w:snapToGrid w:val="0"/>
              <w:jc w:val="center"/>
              <w:rPr>
                <w:rFonts w:ascii="宋体" w:hAnsi="宋体"/>
                <w:color w:val="000000"/>
                <w:szCs w:val="21"/>
              </w:rPr>
            </w:pPr>
            <w:r>
              <w:rPr>
                <w:rFonts w:ascii="宋体" w:hAnsi="宋体"/>
                <w:bCs/>
                <w:color w:val="000000"/>
                <w:szCs w:val="21"/>
              </w:rPr>
              <w:t>临界量/t</w:t>
            </w:r>
          </w:p>
        </w:tc>
        <w:tc>
          <w:tcPr>
            <w:tcW w:w="2892" w:type="dxa"/>
            <w:vAlign w:val="center"/>
          </w:tcPr>
          <w:p w14:paraId="1AC24E6F">
            <w:pPr>
              <w:adjustRightInd w:val="0"/>
              <w:snapToGrid w:val="0"/>
              <w:jc w:val="center"/>
              <w:rPr>
                <w:rFonts w:ascii="宋体" w:hAnsi="宋体"/>
                <w:color w:val="000000"/>
                <w:szCs w:val="21"/>
              </w:rPr>
            </w:pPr>
            <w:r>
              <w:rPr>
                <w:rFonts w:ascii="宋体" w:hAnsi="宋体"/>
                <w:bCs/>
                <w:color w:val="000000"/>
                <w:szCs w:val="21"/>
              </w:rPr>
              <w:t>实际最大储存量/t</w:t>
            </w:r>
          </w:p>
        </w:tc>
      </w:tr>
      <w:tr w14:paraId="6F07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2760" w:type="dxa"/>
            <w:vAlign w:val="center"/>
          </w:tcPr>
          <w:p w14:paraId="6277FA72">
            <w:pPr>
              <w:adjustRightInd w:val="0"/>
              <w:snapToGrid w:val="0"/>
              <w:ind w:firstLine="420" w:firstLineChars="200"/>
              <w:jc w:val="center"/>
              <w:rPr>
                <w:rFonts w:ascii="宋体" w:hAnsi="宋体"/>
                <w:color w:val="000000"/>
                <w:szCs w:val="21"/>
              </w:rPr>
            </w:pPr>
            <w:r>
              <w:rPr>
                <w:rFonts w:ascii="宋体" w:hAnsi="宋体"/>
                <w:color w:val="000000"/>
                <w:szCs w:val="21"/>
              </w:rPr>
              <w:t>柴  油</w:t>
            </w:r>
          </w:p>
        </w:tc>
        <w:tc>
          <w:tcPr>
            <w:tcW w:w="2480" w:type="dxa"/>
            <w:vAlign w:val="center"/>
          </w:tcPr>
          <w:p w14:paraId="610274B9">
            <w:pPr>
              <w:adjustRightInd w:val="0"/>
              <w:snapToGrid w:val="0"/>
              <w:jc w:val="center"/>
              <w:rPr>
                <w:rFonts w:ascii="宋体" w:hAnsi="宋体"/>
                <w:color w:val="000000"/>
                <w:szCs w:val="21"/>
              </w:rPr>
            </w:pPr>
            <w:r>
              <w:rPr>
                <w:rFonts w:ascii="宋体" w:hAnsi="宋体"/>
                <w:color w:val="000000"/>
                <w:szCs w:val="21"/>
              </w:rPr>
              <w:t>5000</w:t>
            </w:r>
          </w:p>
        </w:tc>
        <w:tc>
          <w:tcPr>
            <w:tcW w:w="2892" w:type="dxa"/>
            <w:vAlign w:val="center"/>
          </w:tcPr>
          <w:p w14:paraId="43AC527B">
            <w:pPr>
              <w:adjustRightInd w:val="0"/>
              <w:snapToGrid w:val="0"/>
              <w:jc w:val="center"/>
              <w:rPr>
                <w:rFonts w:hint="default" w:ascii="宋体" w:hAnsi="宋体" w:eastAsia="宋体"/>
                <w:color w:val="000000"/>
                <w:szCs w:val="21"/>
                <w:lang w:val="en-US" w:eastAsia="zh-CN"/>
              </w:rPr>
            </w:pPr>
            <w:r>
              <w:rPr>
                <w:rFonts w:hint="eastAsia" w:ascii="宋体" w:hAnsi="宋体"/>
                <w:color w:val="000000"/>
                <w:szCs w:val="21"/>
                <w:lang w:val="en-US" w:eastAsia="zh-CN"/>
              </w:rPr>
              <w:t>42.5</w:t>
            </w:r>
          </w:p>
        </w:tc>
      </w:tr>
      <w:tr w14:paraId="254B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760" w:type="dxa"/>
            <w:vAlign w:val="center"/>
          </w:tcPr>
          <w:p w14:paraId="7E28293F">
            <w:pPr>
              <w:adjustRightInd w:val="0"/>
              <w:snapToGrid w:val="0"/>
              <w:ind w:firstLine="420" w:firstLineChars="200"/>
              <w:jc w:val="center"/>
              <w:rPr>
                <w:rFonts w:ascii="宋体" w:hAnsi="宋体"/>
                <w:color w:val="000000"/>
                <w:szCs w:val="21"/>
              </w:rPr>
            </w:pPr>
            <w:r>
              <w:rPr>
                <w:rFonts w:ascii="宋体" w:hAnsi="宋体"/>
                <w:color w:val="000000"/>
                <w:szCs w:val="21"/>
              </w:rPr>
              <w:t>汽  油</w:t>
            </w:r>
          </w:p>
        </w:tc>
        <w:tc>
          <w:tcPr>
            <w:tcW w:w="2480" w:type="dxa"/>
            <w:vAlign w:val="center"/>
          </w:tcPr>
          <w:p w14:paraId="5291C146">
            <w:pPr>
              <w:adjustRightInd w:val="0"/>
              <w:snapToGrid w:val="0"/>
              <w:jc w:val="center"/>
              <w:rPr>
                <w:rFonts w:ascii="宋体" w:hAnsi="宋体"/>
                <w:color w:val="000000"/>
                <w:szCs w:val="21"/>
              </w:rPr>
            </w:pPr>
            <w:r>
              <w:rPr>
                <w:rFonts w:ascii="宋体" w:hAnsi="宋体"/>
                <w:color w:val="000000"/>
                <w:szCs w:val="21"/>
              </w:rPr>
              <w:t>200</w:t>
            </w:r>
          </w:p>
        </w:tc>
        <w:tc>
          <w:tcPr>
            <w:tcW w:w="2892" w:type="dxa"/>
            <w:vAlign w:val="center"/>
          </w:tcPr>
          <w:p w14:paraId="1A7372F1">
            <w:pPr>
              <w:adjustRightInd w:val="0"/>
              <w:snapToGrid w:val="0"/>
              <w:jc w:val="center"/>
              <w:rPr>
                <w:rFonts w:hint="default" w:ascii="宋体" w:hAnsi="宋体" w:eastAsia="宋体"/>
                <w:color w:val="000000"/>
                <w:szCs w:val="21"/>
                <w:lang w:val="en-US" w:eastAsia="zh-CN"/>
              </w:rPr>
            </w:pPr>
            <w:r>
              <w:rPr>
                <w:rFonts w:hint="eastAsia" w:ascii="宋体" w:hAnsi="宋体"/>
                <w:color w:val="000000"/>
                <w:szCs w:val="21"/>
                <w:lang w:val="en-US" w:eastAsia="zh-CN"/>
              </w:rPr>
              <w:t>43.5</w:t>
            </w:r>
          </w:p>
        </w:tc>
      </w:tr>
    </w:tbl>
    <w:p w14:paraId="6FCF9233">
      <w:pPr>
        <w:pStyle w:val="11"/>
        <w:spacing w:line="500" w:lineRule="exact"/>
        <w:ind w:firstLine="600"/>
        <w:rPr>
          <w:bCs/>
          <w:kern w:val="0"/>
          <w:sz w:val="28"/>
          <w:szCs w:val="28"/>
        </w:rPr>
      </w:pPr>
      <w:r>
        <w:rPr>
          <w:rFonts w:ascii="宋体" w:hAnsi="宋体"/>
          <w:color w:val="000000"/>
          <w:sz w:val="28"/>
        </w:rPr>
        <w:t>对照上表可知，</w:t>
      </w:r>
      <w:r>
        <w:rPr>
          <w:rFonts w:hint="eastAsia" w:ascii="宋体" w:hAnsi="宋体"/>
          <w:color w:val="000000"/>
          <w:sz w:val="28"/>
          <w:szCs w:val="28"/>
          <w:lang w:val="en-US" w:eastAsia="zh-CN"/>
        </w:rPr>
        <w:t>43.5</w:t>
      </w:r>
      <w:r>
        <w:rPr>
          <w:rFonts w:ascii="宋体" w:hAnsi="宋体"/>
          <w:color w:val="000000"/>
          <w:sz w:val="28"/>
        </w:rPr>
        <w:t>/</w:t>
      </w:r>
      <w:r>
        <w:rPr>
          <w:rFonts w:hint="eastAsia" w:ascii="宋体" w:hAnsi="宋体"/>
          <w:color w:val="000000"/>
          <w:sz w:val="28"/>
        </w:rPr>
        <w:t>200</w:t>
      </w:r>
      <w:r>
        <w:rPr>
          <w:rFonts w:ascii="宋体" w:hAnsi="宋体"/>
          <w:color w:val="000000"/>
          <w:sz w:val="28"/>
        </w:rPr>
        <w:t>+</w:t>
      </w:r>
      <w:r>
        <w:rPr>
          <w:rFonts w:hint="eastAsia" w:ascii="宋体" w:hAnsi="宋体"/>
          <w:color w:val="000000"/>
          <w:sz w:val="28"/>
          <w:szCs w:val="28"/>
          <w:lang w:val="en-US" w:eastAsia="zh-CN"/>
        </w:rPr>
        <w:t>42.5</w:t>
      </w:r>
      <w:r>
        <w:rPr>
          <w:rFonts w:ascii="宋体" w:hAnsi="宋体"/>
          <w:color w:val="000000"/>
          <w:sz w:val="28"/>
        </w:rPr>
        <w:t>/</w:t>
      </w:r>
      <w:r>
        <w:rPr>
          <w:rFonts w:hint="eastAsia" w:ascii="宋体" w:hAnsi="宋体"/>
          <w:color w:val="000000"/>
          <w:sz w:val="28"/>
        </w:rPr>
        <w:t>500</w:t>
      </w:r>
      <w:r>
        <w:rPr>
          <w:rFonts w:ascii="宋体" w:hAnsi="宋体"/>
          <w:color w:val="000000"/>
          <w:sz w:val="28"/>
        </w:rPr>
        <w:t>0=</w:t>
      </w:r>
      <w:r>
        <w:rPr>
          <w:rFonts w:hint="eastAsia" w:ascii="宋体" w:hAnsi="宋体"/>
          <w:color w:val="000000"/>
          <w:sz w:val="28"/>
        </w:rPr>
        <w:t>0.</w:t>
      </w:r>
      <w:r>
        <w:rPr>
          <w:rFonts w:hint="eastAsia" w:ascii="宋体" w:hAnsi="宋体"/>
          <w:color w:val="000000"/>
          <w:sz w:val="28"/>
          <w:lang w:val="en-US" w:eastAsia="zh-CN"/>
        </w:rPr>
        <w:t>226</w:t>
      </w:r>
      <w:r>
        <w:rPr>
          <w:rFonts w:ascii="宋体" w:hAnsi="宋体"/>
          <w:color w:val="000000"/>
          <w:sz w:val="28"/>
        </w:rPr>
        <w:t>&lt;1。</w:t>
      </w:r>
    </w:p>
    <w:p w14:paraId="511E4321">
      <w:pPr>
        <w:pStyle w:val="4"/>
        <w:spacing w:afterLines="100" w:line="500" w:lineRule="exact"/>
        <w:rPr>
          <w:rFonts w:ascii="黑体" w:hAnsi="宋体"/>
          <w:kern w:val="3"/>
          <w:sz w:val="28"/>
          <w:szCs w:val="28"/>
        </w:rPr>
      </w:pPr>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.3</w:t>
      </w:r>
      <w:r>
        <w:rPr>
          <w:rFonts w:ascii="黑体" w:hAnsi="宋体"/>
          <w:kern w:val="3"/>
          <w:sz w:val="28"/>
          <w:szCs w:val="28"/>
        </w:rPr>
        <w:t>辨识结论</w:t>
      </w:r>
      <w:bookmarkEnd w:id="330"/>
      <w:bookmarkEnd w:id="331"/>
      <w:bookmarkEnd w:id="332"/>
    </w:p>
    <w:p w14:paraId="6ADA0047">
      <w:pPr>
        <w:adjustRightInd w:val="0"/>
        <w:snapToGrid w:val="0"/>
        <w:spacing w:line="500" w:lineRule="exact"/>
        <w:ind w:firstLine="560" w:firstLineChars="200"/>
        <w:rPr>
          <w:rFonts w:ascii="宋体" w:hAnsi="宋体"/>
          <w:sz w:val="28"/>
          <w:szCs w:val="28"/>
        </w:rPr>
      </w:pPr>
      <w:r>
        <w:rPr>
          <w:bCs/>
          <w:kern w:val="0"/>
          <w:sz w:val="28"/>
          <w:szCs w:val="28"/>
        </w:rPr>
        <w:t>根据</w:t>
      </w:r>
      <w:r>
        <w:rPr>
          <w:sz w:val="28"/>
          <w:szCs w:val="28"/>
        </w:rPr>
        <w:t>《危险化学品重大危险源辨识》（GB18218-20</w:t>
      </w:r>
      <w:r>
        <w:rPr>
          <w:rFonts w:hint="eastAsia"/>
          <w:sz w:val="28"/>
          <w:szCs w:val="28"/>
        </w:rPr>
        <w:t>18</w:t>
      </w:r>
      <w:r>
        <w:rPr>
          <w:sz w:val="28"/>
          <w:szCs w:val="28"/>
        </w:rPr>
        <w:t>）</w:t>
      </w:r>
      <w:r>
        <w:rPr>
          <w:bCs/>
          <w:kern w:val="0"/>
          <w:sz w:val="28"/>
          <w:szCs w:val="28"/>
        </w:rPr>
        <w:t>，该加油站按上述式（1）计算，计算值</w:t>
      </w:r>
      <w:r>
        <w:rPr>
          <w:rFonts w:hint="eastAsia"/>
          <w:bCs/>
          <w:kern w:val="0"/>
          <w:sz w:val="28"/>
          <w:szCs w:val="28"/>
        </w:rPr>
        <w:t>为</w:t>
      </w:r>
      <w:r>
        <w:rPr>
          <w:rFonts w:hint="eastAsia" w:ascii="宋体" w:hAnsi="宋体"/>
          <w:sz w:val="28"/>
        </w:rPr>
        <w:t>0.</w:t>
      </w:r>
      <w:r>
        <w:rPr>
          <w:rFonts w:hint="eastAsia" w:ascii="宋体" w:hAnsi="宋体"/>
          <w:sz w:val="28"/>
          <w:lang w:val="en-US" w:eastAsia="zh-CN"/>
        </w:rPr>
        <w:t>226</w:t>
      </w:r>
      <w:r>
        <w:rPr>
          <w:rFonts w:hint="eastAsia"/>
          <w:bCs/>
          <w:kern w:val="0"/>
          <w:sz w:val="28"/>
          <w:szCs w:val="28"/>
        </w:rPr>
        <w:t>，</w:t>
      </w:r>
      <w:r>
        <w:rPr>
          <w:bCs/>
          <w:kern w:val="0"/>
          <w:sz w:val="28"/>
          <w:szCs w:val="28"/>
        </w:rPr>
        <w:t>小于1，故</w:t>
      </w:r>
      <w:r>
        <w:rPr>
          <w:kern w:val="3"/>
          <w:sz w:val="28"/>
          <w:szCs w:val="28"/>
        </w:rPr>
        <w:t>加油站油品储量</w:t>
      </w:r>
      <w:r>
        <w:rPr>
          <w:sz w:val="28"/>
          <w:szCs w:val="28"/>
        </w:rPr>
        <w:t>未构成重大危险源。</w:t>
      </w:r>
    </w:p>
    <w:p w14:paraId="4D7C8477">
      <w:pPr>
        <w:pStyle w:val="4"/>
        <w:spacing w:afterLines="100" w:line="500" w:lineRule="exact"/>
        <w:jc w:val="center"/>
        <w:rPr>
          <w:rFonts w:ascii="楷体_GB2312" w:hAnsi="宋体" w:eastAsia="楷体_GB2312"/>
          <w:kern w:val="3"/>
        </w:rPr>
      </w:pPr>
      <w:bookmarkStart w:id="333" w:name="_Toc71894922"/>
      <w:r>
        <w:rPr>
          <w:rFonts w:hint="eastAsia" w:ascii="楷体_GB2312" w:hAnsi="宋体" w:eastAsia="楷体_GB2312"/>
          <w:kern w:val="3"/>
        </w:rPr>
        <w:t>3.7</w:t>
      </w:r>
      <w:r>
        <w:rPr>
          <w:rFonts w:ascii="楷体_GB2312" w:hAnsi="宋体" w:eastAsia="楷体_GB2312"/>
          <w:kern w:val="3"/>
        </w:rPr>
        <w:t>重点监管危险化学品辨识</w:t>
      </w:r>
      <w:bookmarkEnd w:id="333"/>
    </w:p>
    <w:p w14:paraId="4F5C562F">
      <w:pPr>
        <w:widowControl/>
        <w:spacing w:line="500" w:lineRule="exact"/>
        <w:ind w:firstLine="560" w:firstLineChars="200"/>
        <w:rPr>
          <w:rFonts w:ascii="宋体" w:hAnsi="宋体"/>
          <w:sz w:val="28"/>
          <w:szCs w:val="28"/>
        </w:rPr>
      </w:pPr>
      <w:r>
        <w:rPr>
          <w:rFonts w:hint="eastAsia" w:ascii="宋体" w:hAnsi="宋体"/>
          <w:sz w:val="28"/>
          <w:szCs w:val="28"/>
        </w:rPr>
        <w:t>根据《重点监管危险化学品名录》，汽油属于国家重点监管危险化学品，操作人员必须经过专门培训，严格遵守操作规程，熟练掌握操作技能，具备应急处置知识。</w:t>
      </w:r>
    </w:p>
    <w:p w14:paraId="30B479CD">
      <w:pPr>
        <w:pStyle w:val="4"/>
        <w:spacing w:afterLines="100" w:line="500" w:lineRule="exact"/>
        <w:jc w:val="center"/>
        <w:rPr>
          <w:rFonts w:ascii="楷体_GB2312" w:hAnsi="宋体" w:eastAsia="楷体_GB2312"/>
          <w:kern w:val="3"/>
        </w:rPr>
      </w:pPr>
      <w:r>
        <w:rPr>
          <w:rFonts w:ascii="宋体" w:hAnsi="宋体" w:eastAsia="宋体"/>
          <w:sz w:val="28"/>
          <w:szCs w:val="28"/>
        </w:rPr>
        <w:br w:type="page"/>
      </w:r>
      <w:bookmarkStart w:id="334" w:name="_Toc71894923"/>
      <w:r>
        <w:rPr>
          <w:rFonts w:hint="eastAsia" w:ascii="楷体_GB2312" w:hAnsi="宋体" w:eastAsia="楷体_GB2312"/>
          <w:kern w:val="3"/>
        </w:rPr>
        <w:t>第4章  评价方法选择及评价单元划分</w:t>
      </w:r>
      <w:bookmarkEnd w:id="334"/>
    </w:p>
    <w:p w14:paraId="355C26C2">
      <w:pPr>
        <w:pStyle w:val="4"/>
        <w:spacing w:afterLines="100" w:line="500" w:lineRule="exact"/>
        <w:jc w:val="center"/>
        <w:rPr>
          <w:rFonts w:ascii="楷体_GB2312" w:hAnsi="宋体" w:eastAsia="楷体_GB2312"/>
          <w:kern w:val="3"/>
        </w:rPr>
      </w:pPr>
      <w:bookmarkStart w:id="335" w:name="_Toc71894924"/>
      <w:r>
        <w:rPr>
          <w:rFonts w:hint="eastAsia" w:ascii="楷体_GB2312" w:hAnsi="宋体" w:eastAsia="楷体_GB2312"/>
          <w:kern w:val="3"/>
        </w:rPr>
        <w:t>4.1评价方法的选择</w:t>
      </w:r>
      <w:bookmarkEnd w:id="335"/>
    </w:p>
    <w:p w14:paraId="2676FE49">
      <w:pPr>
        <w:snapToGrid w:val="0"/>
        <w:spacing w:line="500" w:lineRule="exact"/>
        <w:ind w:firstLine="561"/>
        <w:rPr>
          <w:rFonts w:ascii="宋体" w:hAnsi="宋体"/>
          <w:sz w:val="28"/>
        </w:rPr>
      </w:pPr>
      <w:r>
        <w:rPr>
          <w:rFonts w:hint="eastAsia" w:ascii="宋体" w:hAnsi="宋体"/>
          <w:sz w:val="28"/>
        </w:rPr>
        <w:t>安全评价方法是对系统的危险性、有害性及其程度进行分析、评价的工具。目前，已开发出数十种不同特点、适用范围和应用条件的评价方法。按其特性可分为定性安全评价、定量安全评价和综合安全评价。</w:t>
      </w:r>
    </w:p>
    <w:p w14:paraId="30B51057">
      <w:pPr>
        <w:adjustRightInd w:val="0"/>
        <w:snapToGrid w:val="0"/>
        <w:spacing w:line="500" w:lineRule="exact"/>
        <w:ind w:firstLine="560" w:firstLineChars="200"/>
        <w:rPr>
          <w:rFonts w:ascii="宋体" w:hAnsi="宋体"/>
          <w:sz w:val="28"/>
          <w:szCs w:val="28"/>
        </w:rPr>
      </w:pPr>
      <w:bookmarkStart w:id="336" w:name="_Toc420403915"/>
      <w:bookmarkStart w:id="337" w:name="_Toc438040956"/>
      <w:bookmarkStart w:id="338" w:name="_Toc424306304"/>
      <w:bookmarkStart w:id="339" w:name="_Toc424306053"/>
      <w:bookmarkStart w:id="340" w:name="_Toc489629074"/>
      <w:bookmarkStart w:id="341" w:name="_Toc433992403"/>
      <w:r>
        <w:rPr>
          <w:rFonts w:hint="eastAsia" w:ascii="宋体" w:hAnsi="宋体"/>
          <w:sz w:val="28"/>
          <w:szCs w:val="28"/>
        </w:rPr>
        <w:t>1.定性安全评价</w:t>
      </w:r>
      <w:bookmarkEnd w:id="336"/>
      <w:bookmarkEnd w:id="337"/>
      <w:bookmarkEnd w:id="338"/>
      <w:bookmarkEnd w:id="339"/>
      <w:bookmarkEnd w:id="340"/>
      <w:bookmarkEnd w:id="341"/>
    </w:p>
    <w:p w14:paraId="30AA09AA">
      <w:pPr>
        <w:snapToGrid w:val="0"/>
        <w:spacing w:line="500" w:lineRule="exact"/>
        <w:ind w:firstLine="561"/>
        <w:rPr>
          <w:rFonts w:ascii="宋体" w:hAnsi="宋体"/>
          <w:sz w:val="28"/>
        </w:rPr>
      </w:pPr>
      <w:r>
        <w:rPr>
          <w:rFonts w:hint="eastAsia" w:ascii="宋体" w:hAnsi="宋体"/>
          <w:sz w:val="28"/>
        </w:rPr>
        <w:t>定性安全评价是借助于对事物的经验、知识、观察及对发展变化规律的了解，科学地进行分析、判断的一类方法。运用这类方法以找出系统中存在的危险、有害因素，进一步根据这些因素从技术上、管理上、教育上提出对策措施，加以控制，达到系统安全的目的。</w:t>
      </w:r>
    </w:p>
    <w:p w14:paraId="0FB6A43C">
      <w:pPr>
        <w:snapToGrid w:val="0"/>
        <w:spacing w:line="500" w:lineRule="exact"/>
        <w:ind w:firstLine="561"/>
        <w:rPr>
          <w:rFonts w:ascii="宋体" w:hAnsi="宋体"/>
          <w:sz w:val="28"/>
        </w:rPr>
      </w:pPr>
      <w:r>
        <w:rPr>
          <w:rFonts w:hint="eastAsia" w:ascii="宋体" w:hAnsi="宋体"/>
          <w:sz w:val="28"/>
        </w:rPr>
        <w:t>目前应用较多的方法有“安全检查表法（</w:t>
      </w:r>
      <w:r>
        <w:rPr>
          <w:rFonts w:ascii="宋体" w:hAnsi="宋体"/>
          <w:sz w:val="28"/>
        </w:rPr>
        <w:t>SCL</w:t>
      </w:r>
      <w:r>
        <w:rPr>
          <w:rFonts w:hint="eastAsia" w:ascii="宋体" w:hAnsi="宋体"/>
          <w:sz w:val="28"/>
        </w:rPr>
        <w:t>）”、“预先危险性分析（</w:t>
      </w:r>
      <w:r>
        <w:rPr>
          <w:rFonts w:ascii="宋体" w:hAnsi="宋体"/>
          <w:sz w:val="28"/>
        </w:rPr>
        <w:t>PHA</w:t>
      </w:r>
      <w:r>
        <w:rPr>
          <w:rFonts w:hint="eastAsia" w:ascii="宋体" w:hAnsi="宋体"/>
          <w:sz w:val="28"/>
        </w:rPr>
        <w:t>）”、“如果……怎么办（</w:t>
      </w:r>
      <w:r>
        <w:rPr>
          <w:rFonts w:ascii="宋体" w:hAnsi="宋体"/>
          <w:sz w:val="28"/>
        </w:rPr>
        <w:t>What</w:t>
      </w:r>
      <w:r>
        <w:rPr>
          <w:rFonts w:hint="eastAsia" w:ascii="宋体" w:hAnsi="宋体"/>
          <w:sz w:val="28"/>
        </w:rPr>
        <w:t>……</w:t>
      </w:r>
      <w:r>
        <w:rPr>
          <w:rFonts w:ascii="宋体" w:hAnsi="宋体"/>
          <w:sz w:val="28"/>
        </w:rPr>
        <w:t>if</w:t>
      </w:r>
      <w:r>
        <w:rPr>
          <w:rFonts w:hint="eastAsia" w:ascii="宋体" w:hAnsi="宋体"/>
          <w:sz w:val="28"/>
        </w:rPr>
        <w:t>）”、“危险性可操作研究（</w:t>
      </w:r>
      <w:r>
        <w:rPr>
          <w:rFonts w:ascii="宋体" w:hAnsi="宋体"/>
          <w:sz w:val="28"/>
        </w:rPr>
        <w:t>HAZOP</w:t>
      </w:r>
      <w:r>
        <w:rPr>
          <w:rFonts w:hint="eastAsia" w:ascii="宋体" w:hAnsi="宋体"/>
          <w:sz w:val="28"/>
        </w:rPr>
        <w:t>）”、“原因—结果（</w:t>
      </w:r>
      <w:r>
        <w:rPr>
          <w:rFonts w:ascii="宋体" w:hAnsi="宋体"/>
          <w:sz w:val="28"/>
        </w:rPr>
        <w:t>CC</w:t>
      </w:r>
      <w:r>
        <w:rPr>
          <w:rFonts w:hint="eastAsia" w:ascii="宋体" w:hAnsi="宋体"/>
          <w:sz w:val="28"/>
        </w:rPr>
        <w:t>）分析”、“人的失误（</w:t>
      </w:r>
      <w:r>
        <w:rPr>
          <w:rFonts w:ascii="宋体" w:hAnsi="宋体"/>
          <w:sz w:val="28"/>
        </w:rPr>
        <w:t>HE</w:t>
      </w:r>
      <w:r>
        <w:rPr>
          <w:rFonts w:hint="eastAsia" w:ascii="宋体" w:hAnsi="宋体"/>
          <w:sz w:val="28"/>
        </w:rPr>
        <w:t>）分析”、“故障类型和影响分析（</w:t>
      </w:r>
      <w:r>
        <w:rPr>
          <w:rFonts w:ascii="宋体" w:hAnsi="宋体"/>
          <w:sz w:val="28"/>
        </w:rPr>
        <w:t>FMEA</w:t>
      </w:r>
      <w:r>
        <w:rPr>
          <w:rFonts w:hint="eastAsia" w:ascii="宋体" w:hAnsi="宋体"/>
          <w:sz w:val="28"/>
        </w:rPr>
        <w:t>）”、等分析评价方法。</w:t>
      </w:r>
    </w:p>
    <w:p w14:paraId="4F0D1F27">
      <w:pPr>
        <w:adjustRightInd w:val="0"/>
        <w:snapToGrid w:val="0"/>
        <w:spacing w:line="500" w:lineRule="exact"/>
        <w:ind w:firstLine="560" w:firstLineChars="200"/>
        <w:rPr>
          <w:rFonts w:ascii="宋体" w:hAnsi="宋体"/>
          <w:sz w:val="28"/>
          <w:szCs w:val="28"/>
        </w:rPr>
      </w:pPr>
      <w:bookmarkStart w:id="342" w:name="_Toc489629075"/>
      <w:bookmarkStart w:id="343" w:name="_Toc420403916"/>
      <w:bookmarkStart w:id="344" w:name="_Toc433992404"/>
      <w:bookmarkStart w:id="345" w:name="_Toc424306054"/>
      <w:bookmarkStart w:id="346" w:name="_Toc424306305"/>
      <w:bookmarkStart w:id="347" w:name="_Toc438040957"/>
      <w:r>
        <w:rPr>
          <w:rFonts w:hint="eastAsia" w:ascii="宋体" w:hAnsi="宋体"/>
          <w:sz w:val="28"/>
          <w:szCs w:val="28"/>
        </w:rPr>
        <w:t>2.定量安全评价</w:t>
      </w:r>
      <w:bookmarkEnd w:id="342"/>
      <w:bookmarkEnd w:id="343"/>
      <w:bookmarkEnd w:id="344"/>
      <w:bookmarkEnd w:id="345"/>
      <w:bookmarkEnd w:id="346"/>
      <w:bookmarkEnd w:id="347"/>
    </w:p>
    <w:p w14:paraId="69ABCE07">
      <w:pPr>
        <w:snapToGrid w:val="0"/>
        <w:spacing w:line="500" w:lineRule="exact"/>
        <w:ind w:firstLine="561"/>
        <w:rPr>
          <w:rFonts w:ascii="宋体" w:hAnsi="宋体"/>
          <w:sz w:val="28"/>
        </w:rPr>
      </w:pPr>
      <w:r>
        <w:rPr>
          <w:rFonts w:hint="eastAsia" w:ascii="宋体" w:hAnsi="宋体"/>
          <w:sz w:val="28"/>
        </w:rPr>
        <w:t>定量安全评价是根据统计数据、检测数据、同类和类似系统的数据资料，按有关标准，应用科学的方法构造数学模型进行定量化评价的一类方法。主要有以下两种类型：</w:t>
      </w:r>
    </w:p>
    <w:p w14:paraId="0A368A5A">
      <w:pPr>
        <w:snapToGrid w:val="0"/>
        <w:spacing w:line="500" w:lineRule="exact"/>
        <w:ind w:firstLine="561"/>
        <w:rPr>
          <w:rFonts w:ascii="宋体" w:hAnsi="宋体"/>
          <w:sz w:val="28"/>
        </w:rPr>
      </w:pPr>
      <w:r>
        <w:rPr>
          <w:rFonts w:hint="eastAsia" w:ascii="宋体" w:hAnsi="宋体"/>
          <w:sz w:val="28"/>
          <w:szCs w:val="28"/>
        </w:rPr>
        <w:t>1）</w:t>
      </w:r>
      <w:r>
        <w:rPr>
          <w:rFonts w:hint="eastAsia" w:ascii="宋体" w:hAnsi="宋体"/>
          <w:sz w:val="28"/>
        </w:rPr>
        <w:t>以可靠性、安全性、卫生性为基础，先查明系统中的隐患并求出其损失率、有害因素的种类及其危害程度，然后再以国家规定的有关标准进行比较、量化。</w:t>
      </w:r>
    </w:p>
    <w:p w14:paraId="314D974E">
      <w:pPr>
        <w:snapToGrid w:val="0"/>
        <w:spacing w:line="500" w:lineRule="exact"/>
        <w:ind w:firstLine="561"/>
        <w:rPr>
          <w:rFonts w:ascii="宋体" w:hAnsi="宋体"/>
          <w:sz w:val="28"/>
        </w:rPr>
      </w:pPr>
      <w:r>
        <w:rPr>
          <w:rFonts w:hint="eastAsia" w:ascii="宋体" w:hAnsi="宋体"/>
          <w:sz w:val="28"/>
        </w:rPr>
        <w:t>常用的方法有：“危险度分级法”、“模糊数学综合评判法”、“层次分析法”、“事故树分析（</w:t>
      </w:r>
      <w:r>
        <w:rPr>
          <w:rFonts w:ascii="宋体" w:hAnsi="宋体"/>
          <w:sz w:val="28"/>
        </w:rPr>
        <w:t>FTA</w:t>
      </w:r>
      <w:r>
        <w:rPr>
          <w:rFonts w:hint="eastAsia" w:ascii="宋体" w:hAnsi="宋体"/>
          <w:sz w:val="28"/>
        </w:rPr>
        <w:t>）”、“事件树分析（</w:t>
      </w:r>
      <w:r>
        <w:rPr>
          <w:rFonts w:ascii="宋体" w:hAnsi="宋体"/>
          <w:sz w:val="28"/>
        </w:rPr>
        <w:t>ETA</w:t>
      </w:r>
      <w:r>
        <w:rPr>
          <w:rFonts w:hint="eastAsia" w:ascii="宋体" w:hAnsi="宋体"/>
          <w:sz w:val="28"/>
        </w:rPr>
        <w:t>）”、“机械工厂安全评价法”、“作业条件危险性评价法（格雷厄姆—金尼法）”等等。</w:t>
      </w:r>
    </w:p>
    <w:p w14:paraId="0CA9AD78">
      <w:pPr>
        <w:snapToGrid w:val="0"/>
        <w:spacing w:line="500" w:lineRule="exact"/>
        <w:ind w:firstLine="561"/>
        <w:rPr>
          <w:rFonts w:ascii="宋体" w:hAnsi="宋体"/>
          <w:sz w:val="28"/>
        </w:rPr>
      </w:pPr>
      <w:r>
        <w:rPr>
          <w:rFonts w:hint="eastAsia" w:ascii="宋体" w:hAnsi="宋体"/>
          <w:sz w:val="28"/>
          <w:szCs w:val="28"/>
        </w:rPr>
        <w:t>2）</w:t>
      </w:r>
      <w:r>
        <w:rPr>
          <w:rFonts w:hint="eastAsia" w:ascii="宋体" w:hAnsi="宋体"/>
          <w:sz w:val="28"/>
        </w:rPr>
        <w:t>以物质系数为基础，采取综合评价的危险度分级方法。</w:t>
      </w:r>
    </w:p>
    <w:p w14:paraId="56E6AB15">
      <w:pPr>
        <w:snapToGrid w:val="0"/>
        <w:spacing w:line="500" w:lineRule="exact"/>
        <w:ind w:firstLine="561"/>
        <w:rPr>
          <w:rFonts w:ascii="宋体" w:hAnsi="宋体"/>
          <w:sz w:val="28"/>
        </w:rPr>
      </w:pPr>
      <w:r>
        <w:rPr>
          <w:rFonts w:hint="eastAsia" w:ascii="宋体" w:hAnsi="宋体"/>
          <w:sz w:val="28"/>
        </w:rPr>
        <w:t>常用的方法有：美国道化学公司（</w:t>
      </w:r>
      <w:r>
        <w:rPr>
          <w:rFonts w:ascii="宋体" w:hAnsi="宋体"/>
          <w:sz w:val="28"/>
        </w:rPr>
        <w:t>Dow  Chemical  Co</w:t>
      </w:r>
      <w:r>
        <w:rPr>
          <w:rFonts w:hint="eastAsia" w:ascii="宋体" w:hAnsi="宋体"/>
          <w:sz w:val="28"/>
        </w:rPr>
        <w:t>）的“火灾、爆炸危险指数法”、英国帝国化学公司蒙德部的“</w:t>
      </w:r>
      <w:r>
        <w:rPr>
          <w:rFonts w:ascii="宋体" w:hAnsi="宋体"/>
          <w:sz w:val="28"/>
        </w:rPr>
        <w:t>ICI/Mond</w:t>
      </w:r>
      <w:r>
        <w:rPr>
          <w:rFonts w:hint="eastAsia" w:ascii="宋体" w:hAnsi="宋体"/>
          <w:sz w:val="28"/>
        </w:rPr>
        <w:t>火灾、爆炸、毒性指标法”、日本劳动省的“六阶段法”、“单元危险指数快速排序法”等。</w:t>
      </w:r>
    </w:p>
    <w:p w14:paraId="3FF13B71">
      <w:pPr>
        <w:adjustRightInd w:val="0"/>
        <w:snapToGrid w:val="0"/>
        <w:spacing w:line="500" w:lineRule="exact"/>
        <w:ind w:firstLine="560" w:firstLineChars="200"/>
        <w:rPr>
          <w:rFonts w:ascii="宋体" w:hAnsi="宋体"/>
          <w:sz w:val="28"/>
          <w:szCs w:val="28"/>
        </w:rPr>
      </w:pPr>
      <w:bookmarkStart w:id="348" w:name="_Toc433992405"/>
      <w:bookmarkStart w:id="349" w:name="_Toc424306055"/>
      <w:bookmarkStart w:id="350" w:name="_Toc489629076"/>
      <w:bookmarkStart w:id="351" w:name="_Toc424306306"/>
      <w:bookmarkStart w:id="352" w:name="_Toc438040958"/>
      <w:bookmarkStart w:id="353" w:name="_Toc420403917"/>
      <w:r>
        <w:rPr>
          <w:rFonts w:hint="eastAsia" w:ascii="宋体" w:hAnsi="宋体"/>
          <w:sz w:val="28"/>
          <w:szCs w:val="28"/>
        </w:rPr>
        <w:t>3.综合性安全评价</w:t>
      </w:r>
      <w:bookmarkEnd w:id="348"/>
      <w:bookmarkEnd w:id="349"/>
      <w:bookmarkEnd w:id="350"/>
      <w:bookmarkEnd w:id="351"/>
      <w:bookmarkEnd w:id="352"/>
      <w:bookmarkEnd w:id="353"/>
    </w:p>
    <w:p w14:paraId="7C4364E3">
      <w:pPr>
        <w:snapToGrid w:val="0"/>
        <w:spacing w:line="500" w:lineRule="exact"/>
        <w:ind w:firstLine="561"/>
        <w:rPr>
          <w:rFonts w:ascii="宋体" w:hAnsi="宋体"/>
          <w:sz w:val="28"/>
        </w:rPr>
      </w:pPr>
      <w:r>
        <w:rPr>
          <w:rFonts w:hint="eastAsia" w:ascii="宋体" w:hAnsi="宋体"/>
          <w:sz w:val="28"/>
        </w:rPr>
        <w:t>综合性安全评价系指两种以上评价方法进行组合的评价。</w:t>
      </w:r>
    </w:p>
    <w:p w14:paraId="53ABF17A">
      <w:pPr>
        <w:snapToGrid w:val="0"/>
        <w:spacing w:line="500" w:lineRule="exact"/>
        <w:ind w:firstLine="561"/>
        <w:rPr>
          <w:rFonts w:ascii="宋体" w:hAnsi="宋体"/>
          <w:sz w:val="28"/>
        </w:rPr>
      </w:pPr>
      <w:r>
        <w:rPr>
          <w:rFonts w:hint="eastAsia" w:ascii="宋体" w:hAnsi="宋体"/>
          <w:sz w:val="28"/>
        </w:rPr>
        <w:t>本评价选择的评价方法概括如下：</w:t>
      </w:r>
    </w:p>
    <w:p w14:paraId="63177AF2">
      <w:pPr>
        <w:snapToGrid w:val="0"/>
        <w:spacing w:line="500" w:lineRule="exact"/>
        <w:ind w:firstLine="561"/>
        <w:rPr>
          <w:rFonts w:ascii="宋体" w:hAnsi="宋体"/>
          <w:sz w:val="28"/>
        </w:rPr>
      </w:pPr>
      <w:r>
        <w:rPr>
          <w:rFonts w:hint="eastAsia" w:ascii="宋体" w:hAnsi="宋体"/>
          <w:sz w:val="28"/>
          <w:szCs w:val="28"/>
        </w:rPr>
        <w:t>1）</w:t>
      </w:r>
      <w:r>
        <w:rPr>
          <w:rFonts w:ascii="宋体" w:hAnsi="宋体"/>
          <w:sz w:val="28"/>
          <w:szCs w:val="28"/>
        </w:rPr>
        <w:t>采用易燃、易爆、有毒重大危险评价法对</w:t>
      </w:r>
      <w:r>
        <w:rPr>
          <w:rFonts w:hint="eastAsia" w:ascii="宋体" w:hAnsi="宋体"/>
          <w:sz w:val="28"/>
          <w:szCs w:val="28"/>
        </w:rPr>
        <w:t>本加油站的埋地油</w:t>
      </w:r>
      <w:r>
        <w:rPr>
          <w:rFonts w:hint="eastAsia" w:ascii="宋体" w:hAnsi="宋体"/>
          <w:sz w:val="28"/>
        </w:rPr>
        <w:t>罐区进行定量评价，确定该加油站的危险程度。</w:t>
      </w:r>
    </w:p>
    <w:p w14:paraId="11429296">
      <w:pPr>
        <w:adjustRightInd w:val="0"/>
        <w:snapToGrid w:val="0"/>
        <w:spacing w:line="500" w:lineRule="exact"/>
        <w:ind w:firstLine="560" w:firstLineChars="200"/>
        <w:rPr>
          <w:rFonts w:ascii="宋体" w:hAnsi="宋体"/>
          <w:sz w:val="28"/>
          <w:szCs w:val="28"/>
        </w:rPr>
      </w:pPr>
      <w:bookmarkStart w:id="354" w:name="_Toc424306307"/>
      <w:bookmarkStart w:id="355" w:name="_Toc420403918"/>
      <w:bookmarkStart w:id="356" w:name="_Toc438040959"/>
      <w:bookmarkStart w:id="357" w:name="_Toc424306056"/>
      <w:bookmarkStart w:id="358" w:name="_Toc433992406"/>
      <w:bookmarkStart w:id="359" w:name="_Toc489629077"/>
      <w:r>
        <w:rPr>
          <w:rFonts w:hint="eastAsia" w:ascii="宋体" w:hAnsi="宋体"/>
          <w:sz w:val="28"/>
          <w:szCs w:val="28"/>
        </w:rPr>
        <w:t>2）池火灾计算法风险程度分析</w:t>
      </w:r>
      <w:bookmarkEnd w:id="354"/>
      <w:bookmarkEnd w:id="355"/>
      <w:bookmarkEnd w:id="356"/>
      <w:bookmarkEnd w:id="357"/>
      <w:bookmarkEnd w:id="358"/>
      <w:bookmarkEnd w:id="359"/>
    </w:p>
    <w:p w14:paraId="39E65DF0">
      <w:pPr>
        <w:snapToGrid w:val="0"/>
        <w:spacing w:line="500" w:lineRule="exact"/>
        <w:ind w:firstLine="561"/>
        <w:rPr>
          <w:rFonts w:ascii="宋体" w:hAnsi="宋体"/>
          <w:sz w:val="28"/>
        </w:rPr>
      </w:pPr>
      <w:r>
        <w:rPr>
          <w:rFonts w:hint="eastAsia" w:ascii="宋体" w:hAnsi="宋体"/>
          <w:sz w:val="28"/>
          <w:szCs w:val="28"/>
        </w:rPr>
        <w:t>3）对项目选址及总平面布置和主要装置及单元分别采用安全检</w:t>
      </w:r>
      <w:r>
        <w:rPr>
          <w:rFonts w:hint="eastAsia" w:ascii="宋体" w:hAnsi="宋体"/>
          <w:sz w:val="28"/>
        </w:rPr>
        <w:t>查表法、故障类型和影响分析进行评价，从而查明各种危险及隐患，避免遗漏。</w:t>
      </w:r>
    </w:p>
    <w:p w14:paraId="48B446D1">
      <w:pPr>
        <w:spacing w:line="500" w:lineRule="exact"/>
        <w:ind w:firstLine="560" w:firstLineChars="200"/>
        <w:rPr>
          <w:rFonts w:ascii="宋体" w:hAnsi="宋体"/>
          <w:sz w:val="28"/>
        </w:rPr>
      </w:pPr>
      <w:r>
        <w:rPr>
          <w:rFonts w:hint="eastAsia" w:ascii="宋体" w:hAnsi="宋体"/>
          <w:sz w:val="28"/>
          <w:szCs w:val="28"/>
        </w:rPr>
        <w:t>本项目的安全评价首先采用定量评价方法，对加油站的危险程度进行定量分析。然后采用安全检查表法</w:t>
      </w:r>
      <w:r>
        <w:rPr>
          <w:rFonts w:hint="eastAsia" w:ascii="宋体" w:hAnsi="宋体"/>
          <w:sz w:val="28"/>
        </w:rPr>
        <w:t>、故障类型和影响分析，按各评价单元的特点进行安全评价，通过安全检查、故障类型和影响分析等定性评价，查明各种危险及隐患，以及采取的防范措施。</w:t>
      </w:r>
    </w:p>
    <w:p w14:paraId="7EA84452">
      <w:pPr>
        <w:pStyle w:val="4"/>
        <w:spacing w:afterLines="100" w:line="500" w:lineRule="exact"/>
        <w:jc w:val="center"/>
        <w:rPr>
          <w:rFonts w:ascii="楷体_GB2312" w:hAnsi="宋体" w:eastAsia="楷体_GB2312"/>
          <w:kern w:val="3"/>
        </w:rPr>
      </w:pPr>
      <w:bookmarkStart w:id="360" w:name="_Toc71894925"/>
      <w:r>
        <w:rPr>
          <w:rFonts w:hint="eastAsia" w:ascii="楷体_GB2312" w:hAnsi="宋体" w:eastAsia="楷体_GB2312"/>
          <w:kern w:val="3"/>
        </w:rPr>
        <w:t>4.2评价单元的划分</w:t>
      </w:r>
      <w:bookmarkEnd w:id="360"/>
    </w:p>
    <w:p w14:paraId="42DC14C3">
      <w:pPr>
        <w:spacing w:line="500" w:lineRule="exact"/>
        <w:ind w:firstLine="523" w:firstLineChars="187"/>
        <w:rPr>
          <w:rFonts w:ascii="宋体" w:hAnsi="宋体"/>
          <w:sz w:val="28"/>
          <w:szCs w:val="28"/>
        </w:rPr>
      </w:pPr>
      <w:r>
        <w:rPr>
          <w:rFonts w:hint="eastAsia" w:ascii="宋体" w:hAnsi="宋体"/>
          <w:sz w:val="28"/>
          <w:szCs w:val="28"/>
        </w:rPr>
        <w:t>本项目评价单元的划分有两个原则：</w:t>
      </w:r>
    </w:p>
    <w:p w14:paraId="3AA70082">
      <w:pPr>
        <w:adjustRightInd w:val="0"/>
        <w:snapToGrid w:val="0"/>
        <w:spacing w:line="500" w:lineRule="exact"/>
        <w:ind w:firstLine="560" w:firstLineChars="200"/>
        <w:rPr>
          <w:rFonts w:ascii="宋体" w:hAnsi="宋体"/>
          <w:sz w:val="28"/>
          <w:szCs w:val="28"/>
        </w:rPr>
      </w:pPr>
      <w:bookmarkStart w:id="361" w:name="_Toc489629079"/>
      <w:bookmarkStart w:id="362" w:name="_Toc420403920"/>
      <w:bookmarkStart w:id="363" w:name="_Toc433992408"/>
      <w:bookmarkStart w:id="364" w:name="_Toc424306309"/>
      <w:bookmarkStart w:id="365" w:name="_Toc424306058"/>
      <w:bookmarkStart w:id="366" w:name="_Toc438040961"/>
      <w:r>
        <w:rPr>
          <w:rFonts w:hint="eastAsia" w:ascii="宋体" w:hAnsi="宋体"/>
          <w:sz w:val="28"/>
          <w:szCs w:val="28"/>
        </w:rPr>
        <w:t>1．按危险、有害因素的类别为主划分</w:t>
      </w:r>
      <w:bookmarkEnd w:id="361"/>
      <w:bookmarkEnd w:id="362"/>
      <w:bookmarkEnd w:id="363"/>
      <w:bookmarkEnd w:id="364"/>
      <w:bookmarkEnd w:id="365"/>
      <w:bookmarkEnd w:id="366"/>
    </w:p>
    <w:p w14:paraId="26DF4CC7">
      <w:pPr>
        <w:spacing w:line="500" w:lineRule="exact"/>
        <w:ind w:firstLine="523" w:firstLineChars="187"/>
        <w:rPr>
          <w:rFonts w:ascii="宋体" w:hAnsi="宋体"/>
          <w:sz w:val="28"/>
          <w:szCs w:val="28"/>
        </w:rPr>
      </w:pPr>
      <w:r>
        <w:rPr>
          <w:rFonts w:hint="eastAsia" w:ascii="宋体" w:hAnsi="宋体"/>
          <w:sz w:val="28"/>
          <w:szCs w:val="28"/>
        </w:rPr>
        <w:t>1）按工艺方案、总体布局和自然条件、社会环境对建设项目的影响等综合方面的危险和危害因素分析和评价，将该类系统作为一个评价单元。</w:t>
      </w:r>
    </w:p>
    <w:p w14:paraId="49BBD3A2">
      <w:pPr>
        <w:adjustRightInd w:val="0"/>
        <w:snapToGrid w:val="0"/>
        <w:spacing w:line="500" w:lineRule="exact"/>
        <w:ind w:firstLine="560" w:firstLineChars="200"/>
        <w:rPr>
          <w:rFonts w:ascii="宋体" w:hAnsi="宋体"/>
          <w:sz w:val="28"/>
          <w:szCs w:val="28"/>
        </w:rPr>
      </w:pPr>
      <w:r>
        <w:rPr>
          <w:rFonts w:hint="eastAsia" w:ascii="宋体" w:hAnsi="宋体"/>
          <w:sz w:val="28"/>
          <w:szCs w:val="28"/>
        </w:rPr>
        <w:t>2）将具有共性的危险和危害因素的场所和装置划为一个单元。</w:t>
      </w:r>
    </w:p>
    <w:p w14:paraId="69244790">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2．按装置和介质特征划分</w:t>
      </w:r>
    </w:p>
    <w:p w14:paraId="58071A3D">
      <w:pPr>
        <w:adjustRightInd w:val="0"/>
        <w:snapToGrid w:val="0"/>
        <w:spacing w:line="500" w:lineRule="exact"/>
        <w:ind w:firstLine="560" w:firstLineChars="200"/>
        <w:rPr>
          <w:rFonts w:ascii="宋体" w:hAnsi="宋体"/>
          <w:sz w:val="28"/>
          <w:szCs w:val="28"/>
        </w:rPr>
      </w:pPr>
      <w:r>
        <w:rPr>
          <w:rFonts w:hint="eastAsia" w:ascii="宋体" w:hAnsi="宋体"/>
          <w:sz w:val="28"/>
          <w:szCs w:val="28"/>
        </w:rPr>
        <w:t>1）按装置工艺功能划分；</w:t>
      </w:r>
    </w:p>
    <w:p w14:paraId="41D1813A">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2）按布局的相对独立性划分；</w:t>
      </w:r>
    </w:p>
    <w:p w14:paraId="6521C09F">
      <w:pPr>
        <w:adjustRightInd w:val="0"/>
        <w:snapToGrid w:val="0"/>
        <w:spacing w:line="500" w:lineRule="exact"/>
        <w:ind w:firstLine="560" w:firstLineChars="200"/>
        <w:rPr>
          <w:rFonts w:ascii="宋体" w:hAnsi="宋体"/>
          <w:sz w:val="28"/>
          <w:szCs w:val="28"/>
        </w:rPr>
      </w:pPr>
      <w:r>
        <w:rPr>
          <w:rFonts w:hint="eastAsia" w:ascii="宋体" w:hAnsi="宋体"/>
          <w:sz w:val="28"/>
          <w:szCs w:val="28"/>
        </w:rPr>
        <w:t>3）按工艺条件划分；</w:t>
      </w:r>
    </w:p>
    <w:p w14:paraId="0CB3B23A">
      <w:pPr>
        <w:spacing w:line="500" w:lineRule="exact"/>
        <w:ind w:firstLine="523" w:firstLineChars="187"/>
        <w:rPr>
          <w:rFonts w:ascii="宋体" w:hAnsi="宋体"/>
          <w:sz w:val="28"/>
          <w:szCs w:val="28"/>
        </w:rPr>
      </w:pPr>
      <w:r>
        <w:rPr>
          <w:rFonts w:hint="eastAsia" w:ascii="宋体" w:hAnsi="宋体"/>
          <w:sz w:val="28"/>
          <w:szCs w:val="28"/>
        </w:rPr>
        <w:t>4）按储存、处理危险物质的潜在化学能、毒性和危险物质的数量划分。</w:t>
      </w:r>
    </w:p>
    <w:p w14:paraId="7DE813DB">
      <w:pPr>
        <w:spacing w:line="500" w:lineRule="exact"/>
        <w:ind w:firstLine="523" w:firstLineChars="187"/>
        <w:rPr>
          <w:rFonts w:ascii="宋体" w:hAnsi="宋体"/>
          <w:sz w:val="28"/>
          <w:szCs w:val="28"/>
        </w:rPr>
      </w:pPr>
      <w:r>
        <w:rPr>
          <w:rFonts w:hint="eastAsia" w:ascii="宋体" w:hAnsi="宋体"/>
          <w:sz w:val="28"/>
          <w:szCs w:val="28"/>
        </w:rPr>
        <w:t>根据国家安监总局颁发的《危险化学品建设项目安全评价细则(试行)》（安监总危化[2007]255号）等有关文件的规定，结合加油站的实际，现将本项目安全评价的单元划分如下：</w:t>
      </w:r>
    </w:p>
    <w:p w14:paraId="43673DBA">
      <w:pPr>
        <w:ind w:firstLine="560" w:firstLineChars="200"/>
        <w:rPr>
          <w:rFonts w:ascii="宋体" w:hAnsi="宋体"/>
          <w:sz w:val="28"/>
        </w:rPr>
      </w:pPr>
      <w:r>
        <w:rPr>
          <w:rFonts w:hint="eastAsia" w:ascii="宋体" w:hAnsi="宋体"/>
          <w:sz w:val="28"/>
        </w:rPr>
        <w:t>1.外部安全条件与站址评价单元；</w:t>
      </w:r>
    </w:p>
    <w:p w14:paraId="2FA3FDC2">
      <w:pPr>
        <w:ind w:firstLine="560" w:firstLineChars="200"/>
        <w:rPr>
          <w:rFonts w:ascii="宋体" w:hAnsi="宋体"/>
          <w:sz w:val="28"/>
        </w:rPr>
      </w:pPr>
      <w:r>
        <w:rPr>
          <w:rFonts w:hint="eastAsia" w:ascii="宋体" w:hAnsi="宋体"/>
          <w:sz w:val="28"/>
        </w:rPr>
        <w:t>2.总平面布置评价单元；</w:t>
      </w:r>
    </w:p>
    <w:p w14:paraId="071EE264">
      <w:pPr>
        <w:ind w:firstLine="560" w:firstLineChars="200"/>
        <w:rPr>
          <w:rFonts w:ascii="宋体" w:hAnsi="宋体"/>
          <w:sz w:val="28"/>
        </w:rPr>
      </w:pPr>
      <w:r>
        <w:rPr>
          <w:rFonts w:hint="eastAsia" w:ascii="宋体" w:hAnsi="宋体"/>
          <w:sz w:val="28"/>
        </w:rPr>
        <w:t>3.加油工艺及设施评价单元；</w:t>
      </w:r>
    </w:p>
    <w:p w14:paraId="79D67FD9">
      <w:pPr>
        <w:ind w:firstLine="560" w:firstLineChars="200"/>
        <w:rPr>
          <w:rFonts w:ascii="宋体" w:hAnsi="宋体"/>
          <w:sz w:val="28"/>
        </w:rPr>
      </w:pPr>
      <w:r>
        <w:rPr>
          <w:rFonts w:hint="eastAsia" w:ascii="宋体" w:hAnsi="宋体"/>
          <w:sz w:val="28"/>
        </w:rPr>
        <w:t>4.</w:t>
      </w:r>
      <w:r>
        <w:rPr>
          <w:rFonts w:ascii="宋体" w:hAnsi="宋体"/>
          <w:sz w:val="28"/>
        </w:rPr>
        <w:t>消防</w:t>
      </w:r>
      <w:r>
        <w:rPr>
          <w:rFonts w:hint="eastAsia" w:ascii="宋体" w:hAnsi="宋体"/>
          <w:sz w:val="28"/>
        </w:rPr>
        <w:t>、</w:t>
      </w:r>
      <w:r>
        <w:rPr>
          <w:rFonts w:ascii="宋体" w:hAnsi="宋体"/>
          <w:sz w:val="28"/>
        </w:rPr>
        <w:t>供排</w:t>
      </w:r>
      <w:r>
        <w:rPr>
          <w:rFonts w:hint="eastAsia" w:ascii="宋体" w:hAnsi="宋体"/>
          <w:sz w:val="28"/>
        </w:rPr>
        <w:t>水评价单元</w:t>
      </w:r>
      <w:r>
        <w:rPr>
          <w:rFonts w:ascii="宋体" w:hAnsi="宋体"/>
          <w:sz w:val="28"/>
        </w:rPr>
        <w:t>；</w:t>
      </w:r>
    </w:p>
    <w:p w14:paraId="0EB0CAB4">
      <w:pPr>
        <w:ind w:firstLine="560" w:firstLineChars="200"/>
        <w:rPr>
          <w:rFonts w:ascii="宋体" w:hAnsi="宋体"/>
          <w:sz w:val="28"/>
        </w:rPr>
      </w:pPr>
      <w:r>
        <w:rPr>
          <w:rFonts w:hint="eastAsia" w:ascii="宋体" w:hAnsi="宋体"/>
          <w:sz w:val="28"/>
        </w:rPr>
        <w:t>5.电气装置及防雷防静电装置评价单元；</w:t>
      </w:r>
    </w:p>
    <w:p w14:paraId="680F17FA">
      <w:pPr>
        <w:ind w:firstLine="560" w:firstLineChars="200"/>
        <w:rPr>
          <w:rFonts w:ascii="宋体" w:hAnsi="宋体"/>
          <w:sz w:val="28"/>
        </w:rPr>
      </w:pPr>
      <w:r>
        <w:rPr>
          <w:rFonts w:hint="eastAsia" w:ascii="宋体" w:hAnsi="宋体"/>
          <w:sz w:val="28"/>
        </w:rPr>
        <w:t>6.</w:t>
      </w:r>
      <w:r>
        <w:rPr>
          <w:rFonts w:ascii="宋体" w:hAnsi="宋体"/>
          <w:sz w:val="28"/>
        </w:rPr>
        <w:t>安全管理评价单元</w:t>
      </w:r>
      <w:r>
        <w:rPr>
          <w:rFonts w:hint="eastAsia" w:ascii="宋体" w:hAnsi="宋体"/>
          <w:sz w:val="28"/>
        </w:rPr>
        <w:t>；</w:t>
      </w:r>
    </w:p>
    <w:p w14:paraId="43B13D73">
      <w:pPr>
        <w:ind w:firstLine="560" w:firstLineChars="200"/>
        <w:rPr>
          <w:rFonts w:ascii="宋体" w:hAnsi="宋体"/>
          <w:sz w:val="28"/>
        </w:rPr>
      </w:pPr>
      <w:r>
        <w:rPr>
          <w:rFonts w:hint="eastAsia" w:ascii="宋体" w:hAnsi="宋体"/>
          <w:sz w:val="28"/>
        </w:rPr>
        <w:t>7.重大隐患判定及安全经营条件单元。</w:t>
      </w:r>
    </w:p>
    <w:p w14:paraId="4FD40BAB">
      <w:pPr>
        <w:pStyle w:val="4"/>
        <w:spacing w:afterLines="100" w:line="500" w:lineRule="exact"/>
        <w:jc w:val="center"/>
        <w:rPr>
          <w:rFonts w:ascii="楷体_GB2312" w:hAnsi="宋体" w:eastAsia="楷体_GB2312"/>
          <w:kern w:val="3"/>
        </w:rPr>
      </w:pPr>
      <w:r>
        <w:rPr>
          <w:rFonts w:ascii="宋体" w:hAnsi="宋体" w:eastAsia="宋体"/>
        </w:rPr>
        <w:br w:type="page"/>
      </w:r>
      <w:bookmarkStart w:id="367" w:name="_Toc71894926"/>
      <w:r>
        <w:rPr>
          <w:rFonts w:hint="eastAsia" w:ascii="楷体_GB2312" w:hAnsi="宋体" w:eastAsia="楷体_GB2312"/>
          <w:kern w:val="3"/>
        </w:rPr>
        <w:t>第5章  危险、有害程度的定性、定量分析</w:t>
      </w:r>
      <w:bookmarkEnd w:id="367"/>
    </w:p>
    <w:p w14:paraId="40FE2D9F">
      <w:pPr>
        <w:pStyle w:val="4"/>
        <w:spacing w:afterLines="100" w:line="500" w:lineRule="exact"/>
        <w:jc w:val="center"/>
        <w:rPr>
          <w:rFonts w:ascii="楷体_GB2312" w:hAnsi="宋体" w:eastAsia="楷体_GB2312"/>
          <w:kern w:val="3"/>
        </w:rPr>
      </w:pPr>
      <w:bookmarkStart w:id="368" w:name="_Toc71894927"/>
      <w:bookmarkStart w:id="369" w:name="_Toc290019916"/>
      <w:bookmarkStart w:id="370" w:name="_Toc185742313"/>
      <w:bookmarkStart w:id="371" w:name="_Toc297127678"/>
      <w:r>
        <w:rPr>
          <w:rFonts w:hint="eastAsia" w:ascii="楷体_GB2312" w:hAnsi="宋体" w:eastAsia="楷体_GB2312"/>
          <w:kern w:val="3"/>
        </w:rPr>
        <w:t>5.1汽油蒸汽云爆炸定量估算</w:t>
      </w:r>
      <w:bookmarkEnd w:id="368"/>
    </w:p>
    <w:p w14:paraId="106ADA98">
      <w:pPr>
        <w:spacing w:line="360" w:lineRule="auto"/>
        <w:ind w:firstLine="560" w:firstLineChars="200"/>
        <w:rPr>
          <w:rFonts w:ascii="宋体" w:hAnsi="宋体" w:cs="Tahoma"/>
          <w:sz w:val="28"/>
          <w:szCs w:val="28"/>
        </w:rPr>
      </w:pPr>
      <w:r>
        <w:rPr>
          <w:rFonts w:hint="eastAsia" w:ascii="宋体" w:hAnsi="宋体" w:cs="Tahoma"/>
          <w:sz w:val="28"/>
          <w:szCs w:val="28"/>
        </w:rPr>
        <w:t>泄漏的油品蒸发而形成的可燃蒸汽在空气中扩散，遇到火源发生突然燃烧而发生爆炸。油罐在发生爆炸时，爆破能量在向外释放时以冲击波能量、碎片能量和容器残余变形能量三种形式表现出来。</w:t>
      </w:r>
    </w:p>
    <w:bookmarkEnd w:id="369"/>
    <w:bookmarkEnd w:id="370"/>
    <w:bookmarkEnd w:id="371"/>
    <w:p w14:paraId="1865F6AC">
      <w:pPr>
        <w:spacing w:line="360" w:lineRule="auto"/>
        <w:ind w:firstLine="560" w:firstLineChars="200"/>
        <w:rPr>
          <w:rFonts w:ascii="宋体" w:hAnsi="宋体" w:cs="Tahoma"/>
          <w:sz w:val="28"/>
          <w:szCs w:val="28"/>
        </w:rPr>
      </w:pPr>
      <w:bookmarkStart w:id="372" w:name="_Toc326828415"/>
      <w:r>
        <w:rPr>
          <w:rFonts w:hint="eastAsia" w:ascii="宋体" w:hAnsi="宋体" w:cs="Tahoma"/>
          <w:sz w:val="28"/>
          <w:szCs w:val="28"/>
        </w:rPr>
        <w:t>本项目有</w:t>
      </w:r>
      <w:r>
        <w:rPr>
          <w:rFonts w:hint="eastAsia" w:ascii="宋体" w:hAnsi="宋体" w:cs="Tahoma"/>
          <w:sz w:val="28"/>
          <w:szCs w:val="28"/>
          <w:lang w:val="en-US" w:eastAsia="zh-CN"/>
        </w:rPr>
        <w:t>3</w:t>
      </w:r>
      <w:r>
        <w:rPr>
          <w:rFonts w:hint="eastAsia" w:ascii="宋体" w:hAnsi="宋体" w:cs="Tahoma"/>
          <w:sz w:val="28"/>
          <w:szCs w:val="28"/>
        </w:rPr>
        <w:t>0m</w:t>
      </w:r>
      <w:r>
        <w:rPr>
          <w:rFonts w:hint="eastAsia" w:ascii="宋体" w:hAnsi="宋体" w:cs="Tahoma"/>
          <w:sz w:val="28"/>
          <w:szCs w:val="28"/>
          <w:vertAlign w:val="superscript"/>
        </w:rPr>
        <w:t>3</w:t>
      </w:r>
      <w:r>
        <w:rPr>
          <w:rFonts w:hint="eastAsia" w:ascii="宋体" w:hAnsi="宋体" w:cs="Tahoma"/>
          <w:sz w:val="28"/>
          <w:szCs w:val="28"/>
        </w:rPr>
        <w:t>的汽油储罐</w:t>
      </w:r>
      <w:r>
        <w:rPr>
          <w:rFonts w:hint="eastAsia" w:ascii="宋体" w:hAnsi="宋体" w:cs="Tahoma"/>
          <w:sz w:val="28"/>
          <w:szCs w:val="28"/>
          <w:lang w:val="en-US" w:eastAsia="zh-CN"/>
        </w:rPr>
        <w:t>2</w:t>
      </w:r>
      <w:r>
        <w:rPr>
          <w:rFonts w:hint="eastAsia" w:ascii="宋体" w:hAnsi="宋体" w:cs="Tahoma"/>
          <w:sz w:val="28"/>
          <w:szCs w:val="28"/>
        </w:rPr>
        <w:t>个。因此，计算时，按单个最大油罐泄漏，油料与空气混合后发生爆炸的情况考虑。</w:t>
      </w:r>
    </w:p>
    <w:p w14:paraId="7016D6B3">
      <w:pPr>
        <w:spacing w:line="360" w:lineRule="auto"/>
        <w:ind w:firstLine="560" w:firstLineChars="200"/>
        <w:rPr>
          <w:rFonts w:ascii="宋体" w:hAnsi="宋体"/>
          <w:sz w:val="28"/>
          <w:szCs w:val="28"/>
        </w:rPr>
      </w:pPr>
      <w:r>
        <w:rPr>
          <w:rFonts w:hint="eastAsia" w:ascii="宋体" w:hAnsi="宋体"/>
          <w:sz w:val="28"/>
          <w:szCs w:val="28"/>
        </w:rPr>
        <w:t>根据爆炸力学理论，采用范登伯格（Van den Berg）和兰诺伊（Lannoy）TNT当量法，将其它易燃、易爆物质转化成相对应的X千克当量TNT，来描述爆炸事故的威力，即能量释放程度，计算出危害程度。计算公式如下：</w:t>
      </w:r>
    </w:p>
    <w:p w14:paraId="1A99C56A">
      <w:pPr>
        <w:spacing w:line="360" w:lineRule="auto"/>
        <w:ind w:firstLine="560" w:firstLineChars="200"/>
        <w:rPr>
          <w:rFonts w:ascii="宋体" w:hAnsi="宋体"/>
          <w:sz w:val="28"/>
          <w:szCs w:val="28"/>
        </w:rPr>
      </w:pPr>
      <w:bookmarkStart w:id="373" w:name="_Toc424306312"/>
      <w:bookmarkStart w:id="374" w:name="_Toc424306061"/>
      <w:bookmarkStart w:id="375" w:name="_Toc420403923"/>
      <w:r>
        <w:rPr>
          <w:rFonts w:hint="eastAsia" w:ascii="宋体" w:hAnsi="宋体"/>
          <w:sz w:val="28"/>
          <w:szCs w:val="28"/>
        </w:rPr>
        <w:t>W</w:t>
      </w:r>
      <w:r>
        <w:rPr>
          <w:rFonts w:hint="eastAsia" w:ascii="宋体" w:hAnsi="宋体"/>
          <w:sz w:val="28"/>
          <w:szCs w:val="28"/>
          <w:vertAlign w:val="subscript"/>
        </w:rPr>
        <w:t>TNT</w:t>
      </w:r>
      <w:r>
        <w:rPr>
          <w:rFonts w:hint="eastAsia" w:ascii="宋体" w:hAnsi="宋体"/>
          <w:sz w:val="28"/>
          <w:szCs w:val="28"/>
        </w:rPr>
        <w:t>=a•</w:t>
      </w:r>
      <w:r>
        <w:rPr>
          <w:rFonts w:ascii="宋体" w:hAnsi="宋体"/>
          <w:sz w:val="28"/>
          <w:szCs w:val="28"/>
        </w:rPr>
        <w:t>Q</w:t>
      </w:r>
      <w:r>
        <w:rPr>
          <w:rFonts w:ascii="宋体" w:hAnsi="宋体"/>
          <w:sz w:val="28"/>
          <w:szCs w:val="28"/>
          <w:vertAlign w:val="subscript"/>
        </w:rPr>
        <w:t>f</w:t>
      </w: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w:t>
      </w:r>
      <w:r>
        <w:rPr>
          <w:rFonts w:ascii="宋体" w:hAnsi="宋体"/>
          <w:sz w:val="28"/>
          <w:szCs w:val="28"/>
        </w:rPr>
        <w:t>W</w:t>
      </w:r>
      <w:r>
        <w:rPr>
          <w:rFonts w:ascii="宋体" w:hAnsi="宋体"/>
          <w:sz w:val="28"/>
          <w:szCs w:val="28"/>
          <w:vertAlign w:val="subscript"/>
        </w:rPr>
        <w:t>f</w:t>
      </w:r>
      <w:bookmarkEnd w:id="373"/>
      <w:bookmarkEnd w:id="374"/>
      <w:bookmarkEnd w:id="375"/>
    </w:p>
    <w:p w14:paraId="0EAD589F">
      <w:pPr>
        <w:spacing w:line="360" w:lineRule="auto"/>
        <w:ind w:firstLine="560" w:firstLineChars="200"/>
        <w:rPr>
          <w:rFonts w:ascii="宋体" w:hAnsi="宋体"/>
          <w:sz w:val="28"/>
          <w:szCs w:val="28"/>
        </w:rPr>
      </w:pPr>
      <w:r>
        <w:rPr>
          <w:rFonts w:hint="eastAsia" w:ascii="宋体" w:hAnsi="宋体"/>
          <w:sz w:val="28"/>
          <w:szCs w:val="28"/>
        </w:rPr>
        <w:t>式中：W</w:t>
      </w:r>
      <w:r>
        <w:rPr>
          <w:rFonts w:hint="eastAsia" w:ascii="宋体" w:hAnsi="宋体"/>
          <w:sz w:val="28"/>
          <w:szCs w:val="28"/>
          <w:vertAlign w:val="subscript"/>
        </w:rPr>
        <w:t>TNT</w:t>
      </w:r>
      <w:r>
        <w:rPr>
          <w:rFonts w:hint="eastAsia" w:ascii="宋体" w:hAnsi="宋体"/>
          <w:sz w:val="28"/>
          <w:szCs w:val="28"/>
        </w:rPr>
        <w:t>—蒸汽云的TNT当量，kg；</w:t>
      </w:r>
    </w:p>
    <w:p w14:paraId="2C0A6C41">
      <w:pPr>
        <w:spacing w:line="360" w:lineRule="auto"/>
        <w:ind w:firstLine="560" w:firstLineChars="200"/>
        <w:rPr>
          <w:rFonts w:ascii="宋体" w:hAnsi="宋体"/>
          <w:sz w:val="28"/>
          <w:szCs w:val="28"/>
        </w:rPr>
      </w:pPr>
      <w:r>
        <w:rPr>
          <w:rFonts w:hint="eastAsia" w:ascii="宋体" w:hAnsi="宋体"/>
          <w:sz w:val="28"/>
          <w:szCs w:val="28"/>
        </w:rPr>
        <w:t>a—蒸汽云的当量系数，通常取4%</w:t>
      </w:r>
    </w:p>
    <w:p w14:paraId="397CE03D">
      <w:pPr>
        <w:spacing w:line="360" w:lineRule="auto"/>
        <w:ind w:firstLine="560" w:firstLineChars="200"/>
        <w:rPr>
          <w:rFonts w:ascii="宋体" w:hAnsi="宋体"/>
          <w:sz w:val="28"/>
          <w:szCs w:val="28"/>
        </w:rPr>
      </w:pPr>
      <w:r>
        <w:rPr>
          <w:rFonts w:ascii="宋体" w:hAnsi="宋体"/>
          <w:sz w:val="28"/>
          <w:szCs w:val="28"/>
        </w:rPr>
        <w:t>Q</w:t>
      </w:r>
      <w:r>
        <w:rPr>
          <w:rFonts w:ascii="宋体" w:hAnsi="宋体"/>
          <w:sz w:val="28"/>
          <w:szCs w:val="28"/>
          <w:vertAlign w:val="subscript"/>
        </w:rPr>
        <w:t>f</w:t>
      </w:r>
      <w:r>
        <w:rPr>
          <w:rFonts w:hint="eastAsia" w:ascii="宋体" w:hAnsi="宋体"/>
          <w:sz w:val="28"/>
          <w:szCs w:val="28"/>
        </w:rPr>
        <w:t>—燃料的燃烧热，MJ/kg；查美国DOW公司火灾爆炸指数法附录《物质系数和特性》表并换算，汽油为43.7MJ/kg；</w:t>
      </w:r>
    </w:p>
    <w:p w14:paraId="3BE160D2">
      <w:pPr>
        <w:adjustRightInd w:val="0"/>
        <w:snapToGrid w:val="0"/>
        <w:spacing w:line="500" w:lineRule="exact"/>
        <w:ind w:firstLine="560" w:firstLineChars="200"/>
        <w:rPr>
          <w:rFonts w:ascii="宋体" w:hAnsi="宋体"/>
          <w:sz w:val="28"/>
          <w:szCs w:val="28"/>
        </w:rPr>
      </w:pP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—TNT的爆炸热，</w:t>
      </w:r>
      <w:r>
        <w:rPr>
          <w:rFonts w:ascii="宋体" w:hAnsi="宋体"/>
          <w:sz w:val="28"/>
          <w:szCs w:val="28"/>
        </w:rPr>
        <w:t>4.52MJ/kg</w:t>
      </w:r>
      <w:r>
        <w:rPr>
          <w:rFonts w:hint="eastAsia" w:ascii="宋体" w:hAnsi="宋体"/>
          <w:sz w:val="28"/>
          <w:szCs w:val="28"/>
        </w:rPr>
        <w:t>；</w:t>
      </w:r>
    </w:p>
    <w:p w14:paraId="26181CE4">
      <w:pPr>
        <w:spacing w:line="360" w:lineRule="auto"/>
        <w:ind w:firstLine="560" w:firstLineChars="200"/>
        <w:rPr>
          <w:rFonts w:ascii="宋体" w:hAnsi="宋体"/>
          <w:sz w:val="28"/>
          <w:szCs w:val="28"/>
        </w:rPr>
      </w:pPr>
      <w:r>
        <w:rPr>
          <w:rFonts w:ascii="宋体" w:hAnsi="宋体"/>
          <w:sz w:val="28"/>
          <w:szCs w:val="28"/>
        </w:rPr>
        <w:t>W</w:t>
      </w:r>
      <w:r>
        <w:rPr>
          <w:rFonts w:ascii="宋体" w:hAnsi="宋体"/>
          <w:sz w:val="28"/>
          <w:szCs w:val="28"/>
          <w:vertAlign w:val="subscript"/>
        </w:rPr>
        <w:t>f</w:t>
      </w:r>
      <w:r>
        <w:rPr>
          <w:rFonts w:hint="eastAsia" w:ascii="宋体" w:hAnsi="宋体"/>
          <w:sz w:val="28"/>
          <w:szCs w:val="28"/>
        </w:rPr>
        <w:t>—蒸汽云爆炸中燃烧掉的总质量，kg。</w:t>
      </w:r>
    </w:p>
    <w:p w14:paraId="70BA2C06">
      <w:pPr>
        <w:spacing w:line="360" w:lineRule="auto"/>
        <w:ind w:firstLine="560" w:firstLineChars="200"/>
        <w:rPr>
          <w:rFonts w:ascii="宋体" w:hAnsi="宋体"/>
          <w:sz w:val="28"/>
          <w:szCs w:val="28"/>
        </w:rPr>
      </w:pPr>
      <w:r>
        <w:rPr>
          <w:rFonts w:hint="eastAsia" w:ascii="宋体" w:hAnsi="宋体"/>
          <w:sz w:val="28"/>
          <w:szCs w:val="28"/>
        </w:rPr>
        <w:t>车用汽油爆炸极限，根据有关资料爆炸下限为1.0%，上限为8.0%。地下油罐一般是罐内油品蒸汽形成爆炸性混合气体，遇到明火或高温等情况发生爆炸。因此应以油罐容积为限，计算其达到爆炸极限时油品蒸汽的爆炸能量。</w:t>
      </w:r>
    </w:p>
    <w:p w14:paraId="0B782F88">
      <w:pPr>
        <w:spacing w:line="360" w:lineRule="auto"/>
        <w:ind w:firstLine="560" w:firstLineChars="200"/>
        <w:rPr>
          <w:rFonts w:ascii="宋体" w:hAnsi="宋体"/>
          <w:sz w:val="28"/>
          <w:szCs w:val="28"/>
        </w:rPr>
      </w:pPr>
      <w:r>
        <w:rPr>
          <w:rFonts w:hint="eastAsia" w:ascii="宋体" w:hAnsi="宋体"/>
          <w:sz w:val="28"/>
          <w:szCs w:val="28"/>
        </w:rPr>
        <w:t>已知汽油相对标准状态下对于干空气的密度为3.5。标准状态下干空气密度为1.292kg/m</w:t>
      </w:r>
      <w:r>
        <w:rPr>
          <w:rFonts w:hint="eastAsia" w:ascii="宋体" w:hAnsi="宋体"/>
          <w:sz w:val="28"/>
          <w:szCs w:val="28"/>
          <w:vertAlign w:val="superscript"/>
        </w:rPr>
        <w:t>3</w:t>
      </w:r>
      <w:r>
        <w:rPr>
          <w:rFonts w:hint="eastAsia" w:ascii="宋体" w:hAnsi="宋体"/>
          <w:sz w:val="28"/>
          <w:szCs w:val="28"/>
        </w:rPr>
        <w:t>。</w:t>
      </w:r>
    </w:p>
    <w:p w14:paraId="79D2DB99">
      <w:pPr>
        <w:spacing w:line="360" w:lineRule="auto"/>
        <w:ind w:firstLine="560" w:firstLineChars="200"/>
        <w:rPr>
          <w:rFonts w:ascii="宋体" w:hAnsi="宋体"/>
          <w:sz w:val="28"/>
          <w:szCs w:val="28"/>
        </w:rPr>
      </w:pPr>
      <w:r>
        <w:rPr>
          <w:rFonts w:hint="eastAsia" w:ascii="宋体" w:hAnsi="宋体"/>
          <w:sz w:val="28"/>
          <w:szCs w:val="28"/>
        </w:rPr>
        <w:t>设油罐容积为X，且假设整个储罐为一个点爆炸源。设1m</w:t>
      </w:r>
      <w:r>
        <w:rPr>
          <w:rFonts w:hint="eastAsia" w:ascii="宋体" w:hAnsi="宋体"/>
          <w:sz w:val="28"/>
          <w:szCs w:val="28"/>
          <w:vertAlign w:val="superscript"/>
        </w:rPr>
        <w:t>3</w:t>
      </w:r>
      <w:r>
        <w:rPr>
          <w:rFonts w:hint="eastAsia" w:ascii="宋体" w:hAnsi="宋体"/>
          <w:sz w:val="28"/>
          <w:szCs w:val="28"/>
        </w:rPr>
        <w:t>达到爆炸极限的汽油蒸汽质量为B，则有：</w:t>
      </w:r>
    </w:p>
    <w:p w14:paraId="5181912A">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下</w:t>
      </w:r>
      <w:r>
        <w:rPr>
          <w:rFonts w:hint="eastAsia" w:ascii="宋体" w:hAnsi="宋体"/>
          <w:sz w:val="28"/>
          <w:szCs w:val="28"/>
        </w:rPr>
        <w:t>=3.5×1.292×1%=0.045255</w:t>
      </w:r>
    </w:p>
    <w:p w14:paraId="564DCB36">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上</w:t>
      </w:r>
      <w:r>
        <w:rPr>
          <w:rFonts w:hint="eastAsia" w:ascii="宋体" w:hAnsi="宋体"/>
          <w:sz w:val="28"/>
          <w:szCs w:val="28"/>
        </w:rPr>
        <w:t>=3.5×1.292×8%=0.36204</w:t>
      </w:r>
    </w:p>
    <w:p w14:paraId="6AFD71AB">
      <w:pPr>
        <w:spacing w:line="360" w:lineRule="auto"/>
        <w:ind w:firstLine="560" w:firstLineChars="200"/>
        <w:rPr>
          <w:rFonts w:ascii="宋体" w:hAnsi="宋体"/>
          <w:sz w:val="28"/>
          <w:szCs w:val="28"/>
        </w:rPr>
      </w:pPr>
      <w:r>
        <w:rPr>
          <w:rFonts w:hint="eastAsia" w:ascii="宋体" w:hAnsi="宋体"/>
          <w:sz w:val="28"/>
          <w:szCs w:val="28"/>
        </w:rPr>
        <w:t>则</w:t>
      </w:r>
      <w:r>
        <w:rPr>
          <w:rFonts w:ascii="宋体" w:hAnsi="宋体"/>
          <w:sz w:val="28"/>
          <w:szCs w:val="28"/>
        </w:rPr>
        <w:t>W</w:t>
      </w:r>
      <w:r>
        <w:rPr>
          <w:rFonts w:ascii="宋体" w:hAnsi="宋体"/>
          <w:sz w:val="28"/>
          <w:szCs w:val="28"/>
          <w:vertAlign w:val="subscript"/>
        </w:rPr>
        <w:t>f</w:t>
      </w:r>
      <w:r>
        <w:rPr>
          <w:rFonts w:hint="eastAsia" w:ascii="宋体" w:hAnsi="宋体"/>
          <w:sz w:val="28"/>
          <w:szCs w:val="28"/>
        </w:rPr>
        <w:t>=X•B</w:t>
      </w:r>
    </w:p>
    <w:p w14:paraId="3E4BDDF8">
      <w:pPr>
        <w:spacing w:line="360" w:lineRule="auto"/>
        <w:ind w:firstLine="560" w:firstLineChars="200"/>
        <w:rPr>
          <w:rFonts w:ascii="宋体" w:hAnsi="宋体"/>
          <w:sz w:val="28"/>
          <w:szCs w:val="28"/>
        </w:rPr>
      </w:pPr>
      <w:r>
        <w:rPr>
          <w:rFonts w:hint="eastAsia" w:ascii="宋体" w:hAnsi="宋体"/>
          <w:sz w:val="28"/>
          <w:szCs w:val="28"/>
        </w:rPr>
        <w:t>现已知加油站汽油单罐容积最大为</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，则将之代入上式可计算中得出加油站油罐的爆炸能量W</w:t>
      </w:r>
      <w:r>
        <w:rPr>
          <w:rFonts w:hint="eastAsia" w:ascii="宋体" w:hAnsi="宋体"/>
          <w:sz w:val="28"/>
          <w:szCs w:val="28"/>
          <w:vertAlign w:val="subscript"/>
        </w:rPr>
        <w:t>TNT</w:t>
      </w:r>
      <w:r>
        <w:rPr>
          <w:rFonts w:hint="eastAsia" w:ascii="宋体" w:hAnsi="宋体"/>
          <w:sz w:val="28"/>
          <w:szCs w:val="28"/>
        </w:rPr>
        <w:t>范围为：</w:t>
      </w:r>
      <w:r>
        <w:rPr>
          <w:rFonts w:hint="eastAsia" w:ascii="宋体" w:hAnsi="宋体"/>
          <w:color w:val="000000"/>
          <w:sz w:val="28"/>
          <w:szCs w:val="28"/>
        </w:rPr>
        <w:t>0.26</w:t>
      </w:r>
      <w:r>
        <w:rPr>
          <w:rFonts w:ascii="宋体" w:hAnsi="宋体"/>
          <w:color w:val="000000"/>
          <w:sz w:val="28"/>
          <w:szCs w:val="28"/>
        </w:rPr>
        <w:t>—</w:t>
      </w:r>
      <w:r>
        <w:rPr>
          <w:rFonts w:hint="eastAsia" w:ascii="宋体" w:hAnsi="宋体"/>
          <w:color w:val="000000"/>
          <w:sz w:val="28"/>
          <w:szCs w:val="28"/>
        </w:rPr>
        <w:t>2.15</w:t>
      </w:r>
      <w:r>
        <w:rPr>
          <w:rFonts w:hint="eastAsia" w:ascii="宋体" w:hAnsi="宋体"/>
          <w:sz w:val="28"/>
          <w:szCs w:val="28"/>
        </w:rPr>
        <w:t>㎏。</w:t>
      </w:r>
    </w:p>
    <w:p w14:paraId="2C239ECF">
      <w:pPr>
        <w:spacing w:line="360" w:lineRule="auto"/>
        <w:ind w:firstLine="560" w:firstLineChars="200"/>
        <w:rPr>
          <w:rFonts w:ascii="宋体" w:hAnsi="宋体"/>
          <w:sz w:val="28"/>
          <w:szCs w:val="28"/>
        </w:rPr>
      </w:pPr>
      <w:r>
        <w:rPr>
          <w:rFonts w:hint="eastAsia" w:ascii="宋体" w:hAnsi="宋体"/>
          <w:sz w:val="28"/>
          <w:szCs w:val="28"/>
        </w:rPr>
        <w:t>爆炸冲击波对人员伤害和建筑物破坏范围</w:t>
      </w:r>
    </w:p>
    <w:p w14:paraId="38B446D6">
      <w:pPr>
        <w:adjustRightInd w:val="0"/>
        <w:snapToGrid w:val="0"/>
        <w:spacing w:line="500" w:lineRule="exact"/>
        <w:ind w:firstLine="560" w:firstLineChars="200"/>
        <w:rPr>
          <w:rFonts w:ascii="宋体" w:hAnsi="宋体"/>
          <w:sz w:val="28"/>
          <w:szCs w:val="28"/>
        </w:rPr>
      </w:pPr>
      <w:r>
        <w:rPr>
          <w:rFonts w:hint="eastAsia" w:ascii="宋体" w:hAnsi="宋体"/>
          <w:sz w:val="28"/>
          <w:szCs w:val="28"/>
        </w:rPr>
        <w:t>①计算公式</w:t>
      </w:r>
    </w:p>
    <w:p w14:paraId="5F516DCB">
      <w:pPr>
        <w:spacing w:line="360" w:lineRule="auto"/>
        <w:ind w:firstLine="560" w:firstLineChars="200"/>
        <w:rPr>
          <w:rFonts w:ascii="宋体" w:hAnsi="宋体"/>
          <w:sz w:val="28"/>
          <w:szCs w:val="28"/>
        </w:rPr>
      </w:pPr>
      <w:r>
        <w:rPr>
          <w:rFonts w:hint="eastAsia" w:ascii="宋体" w:hAnsi="宋体"/>
          <w:sz w:val="28"/>
          <w:szCs w:val="28"/>
        </w:rPr>
        <w:t>地下储罐爆炸冲击波计算应采用岩土爆破研究有关的成果，结合地下储油罐属于沙土覆盖和填充，采用G.M莱克霍夫的研究成果。莱克霍夫对于砂质土壤中的冲击波超压，有：</w:t>
      </w:r>
    </w:p>
    <w:p w14:paraId="7F122A1C">
      <w:pPr>
        <w:spacing w:line="360" w:lineRule="auto"/>
        <w:ind w:firstLine="560" w:firstLineChars="200"/>
        <w:rPr>
          <w:rFonts w:ascii="宋体" w:hAnsi="宋体"/>
          <w:sz w:val="28"/>
          <w:szCs w:val="28"/>
        </w:rPr>
      </w:pPr>
      <w:r>
        <w:rPr>
          <w:rFonts w:hint="eastAsia" w:ascii="宋体" w:hAnsi="宋体"/>
          <w:sz w:val="28"/>
          <w:szCs w:val="28"/>
        </w:rPr>
        <w:t>△Pm=8[R/（W</w:t>
      </w:r>
      <w:r>
        <w:rPr>
          <w:rFonts w:hint="eastAsia" w:ascii="宋体" w:hAnsi="宋体"/>
          <w:sz w:val="28"/>
          <w:szCs w:val="28"/>
          <w:vertAlign w:val="subscript"/>
        </w:rPr>
        <w:t>TNT</w:t>
      </w:r>
      <w:r>
        <w:rPr>
          <w:rFonts w:hint="eastAsia" w:ascii="宋体" w:hAnsi="宋体"/>
          <w:sz w:val="28"/>
          <w:szCs w:val="28"/>
        </w:rPr>
        <w:t>）1/3]</w:t>
      </w:r>
      <w:r>
        <w:rPr>
          <w:rFonts w:hint="eastAsia" w:ascii="宋体" w:hAnsi="宋体"/>
          <w:sz w:val="28"/>
          <w:szCs w:val="28"/>
          <w:vertAlign w:val="superscript"/>
        </w:rPr>
        <w:t>-3</w:t>
      </w:r>
    </w:p>
    <w:p w14:paraId="0CCD3461">
      <w:pPr>
        <w:spacing w:line="360" w:lineRule="auto"/>
        <w:ind w:firstLine="560" w:firstLineChars="200"/>
        <w:rPr>
          <w:rFonts w:ascii="宋体" w:hAnsi="宋体"/>
          <w:sz w:val="28"/>
          <w:szCs w:val="28"/>
        </w:rPr>
      </w:pPr>
      <w:r>
        <w:rPr>
          <w:rFonts w:hint="eastAsia" w:ascii="宋体" w:hAnsi="宋体"/>
          <w:sz w:val="28"/>
          <w:szCs w:val="28"/>
        </w:rPr>
        <w:t>式中：△Pm—爆炸冲击波超压，kg f/cm</w:t>
      </w:r>
      <w:r>
        <w:rPr>
          <w:rFonts w:hint="eastAsia" w:ascii="宋体" w:hAnsi="宋体"/>
          <w:sz w:val="28"/>
          <w:szCs w:val="28"/>
          <w:vertAlign w:val="superscript"/>
        </w:rPr>
        <w:t>2</w:t>
      </w:r>
      <w:r>
        <w:rPr>
          <w:rFonts w:hint="eastAsia" w:ascii="宋体" w:hAnsi="宋体"/>
          <w:sz w:val="28"/>
          <w:szCs w:val="28"/>
        </w:rPr>
        <w:t>；</w:t>
      </w:r>
    </w:p>
    <w:p w14:paraId="2D3DBB10">
      <w:pPr>
        <w:spacing w:line="360" w:lineRule="auto"/>
        <w:ind w:firstLine="560" w:firstLineChars="200"/>
        <w:rPr>
          <w:rFonts w:ascii="宋体" w:hAnsi="宋体"/>
          <w:sz w:val="28"/>
          <w:szCs w:val="28"/>
        </w:rPr>
      </w:pPr>
      <w:r>
        <w:rPr>
          <w:rFonts w:hint="eastAsia" w:ascii="宋体" w:hAnsi="宋体"/>
          <w:sz w:val="28"/>
          <w:szCs w:val="28"/>
        </w:rPr>
        <w:t xml:space="preserve">      R—爆心到所研究点的距离，m；</w:t>
      </w:r>
    </w:p>
    <w:p w14:paraId="156F343F">
      <w:pPr>
        <w:spacing w:line="360" w:lineRule="auto"/>
        <w:ind w:firstLine="560" w:firstLineChars="200"/>
        <w:rPr>
          <w:rFonts w:ascii="宋体" w:hAnsi="宋体"/>
          <w:sz w:val="28"/>
          <w:szCs w:val="28"/>
        </w:rPr>
      </w:pPr>
      <w:r>
        <w:rPr>
          <w:rFonts w:hint="eastAsia" w:ascii="宋体" w:hAnsi="宋体"/>
          <w:sz w:val="28"/>
          <w:szCs w:val="28"/>
        </w:rPr>
        <w:t xml:space="preserve">      W</w:t>
      </w:r>
      <w:r>
        <w:rPr>
          <w:rFonts w:hint="eastAsia" w:ascii="宋体" w:hAnsi="宋体"/>
          <w:sz w:val="28"/>
          <w:szCs w:val="28"/>
          <w:vertAlign w:val="subscript"/>
        </w:rPr>
        <w:t>TNT</w:t>
      </w:r>
      <w:r>
        <w:rPr>
          <w:rFonts w:hint="eastAsia" w:ascii="宋体" w:hAnsi="宋体"/>
          <w:sz w:val="28"/>
          <w:szCs w:val="28"/>
        </w:rPr>
        <w:t>—蒸汽云的TNT当量，kg；</w:t>
      </w:r>
    </w:p>
    <w:p w14:paraId="208A82A8">
      <w:pPr>
        <w:spacing w:line="360" w:lineRule="auto"/>
        <w:ind w:firstLine="560" w:firstLineChars="200"/>
        <w:rPr>
          <w:rFonts w:ascii="宋体" w:hAnsi="宋体"/>
          <w:sz w:val="28"/>
          <w:szCs w:val="28"/>
        </w:rPr>
      </w:pPr>
      <w:r>
        <w:rPr>
          <w:rFonts w:hint="eastAsia" w:ascii="宋体" w:hAnsi="宋体"/>
          <w:sz w:val="28"/>
          <w:szCs w:val="28"/>
        </w:rPr>
        <w:t>根据上式，则有：</w:t>
      </w:r>
    </w:p>
    <w:p w14:paraId="17C101B3">
      <w:pPr>
        <w:spacing w:line="360" w:lineRule="auto"/>
        <w:ind w:firstLine="560" w:firstLineChars="200"/>
        <w:rPr>
          <w:rFonts w:ascii="宋体" w:hAnsi="宋体"/>
          <w:sz w:val="28"/>
          <w:szCs w:val="28"/>
        </w:rPr>
      </w:pPr>
      <w:bookmarkStart w:id="376" w:name="_Toc420403924"/>
      <w:bookmarkStart w:id="377" w:name="_Toc424306313"/>
      <w:bookmarkStart w:id="378" w:name="_Toc424306062"/>
      <w:r>
        <w:rPr>
          <w:rFonts w:hint="eastAsia" w:ascii="宋体" w:hAnsi="宋体"/>
          <w:sz w:val="28"/>
          <w:szCs w:val="28"/>
        </w:rPr>
        <w:t>R=[8 W</w:t>
      </w:r>
      <w:r>
        <w:rPr>
          <w:rFonts w:hint="eastAsia" w:ascii="宋体" w:hAnsi="宋体"/>
          <w:sz w:val="28"/>
          <w:szCs w:val="28"/>
          <w:vertAlign w:val="subscript"/>
        </w:rPr>
        <w:t>TNT</w:t>
      </w:r>
      <w:r>
        <w:rPr>
          <w:rFonts w:hint="eastAsia" w:ascii="宋体" w:hAnsi="宋体"/>
          <w:sz w:val="28"/>
          <w:szCs w:val="28"/>
        </w:rPr>
        <w:t>/△Pm] 1/3</w:t>
      </w:r>
      <w:bookmarkEnd w:id="376"/>
      <w:bookmarkEnd w:id="377"/>
      <w:bookmarkEnd w:id="378"/>
    </w:p>
    <w:p w14:paraId="4A3C6F9A">
      <w:pPr>
        <w:spacing w:line="360" w:lineRule="auto"/>
        <w:ind w:firstLine="560" w:firstLineChars="200"/>
        <w:rPr>
          <w:rFonts w:ascii="宋体" w:hAnsi="宋体"/>
          <w:sz w:val="28"/>
          <w:szCs w:val="28"/>
        </w:rPr>
      </w:pPr>
      <w:r>
        <w:rPr>
          <w:rFonts w:hint="eastAsia" w:ascii="宋体" w:hAnsi="宋体"/>
          <w:sz w:val="28"/>
          <w:szCs w:val="28"/>
        </w:rPr>
        <w:t>②地下储油罐爆炸冲击波对人员伤害范围计算</w:t>
      </w:r>
    </w:p>
    <w:p w14:paraId="7D124FB9">
      <w:pPr>
        <w:spacing w:line="360" w:lineRule="auto"/>
        <w:ind w:firstLine="560" w:firstLineChars="200"/>
        <w:rPr>
          <w:rFonts w:ascii="宋体" w:hAnsi="宋体"/>
          <w:sz w:val="28"/>
          <w:szCs w:val="28"/>
        </w:rPr>
      </w:pPr>
      <w:r>
        <w:rPr>
          <w:rFonts w:hint="eastAsia" w:ascii="宋体" w:hAnsi="宋体"/>
          <w:sz w:val="28"/>
          <w:szCs w:val="28"/>
        </w:rPr>
        <w:t>根据爆炸事故后果模拟评价方法中的超压准则，冲击波对人体的伤害和建筑物破坏作用分列如下表：</w:t>
      </w:r>
    </w:p>
    <w:p w14:paraId="2A12974F">
      <w:pPr>
        <w:pStyle w:val="11"/>
        <w:spacing w:line="500" w:lineRule="exact"/>
        <w:ind w:firstLine="600"/>
        <w:jc w:val="center"/>
        <w:rPr>
          <w:rFonts w:ascii="宋体" w:hAnsi="宋体"/>
          <w:bCs/>
          <w:sz w:val="28"/>
          <w:szCs w:val="28"/>
        </w:rPr>
      </w:pPr>
      <w:r>
        <w:rPr>
          <w:rFonts w:hint="eastAsia" w:ascii="宋体" w:hAnsi="宋体"/>
          <w:bCs/>
          <w:sz w:val="28"/>
          <w:szCs w:val="28"/>
        </w:rPr>
        <w:t>表5-1  人员伤害超压准则</w:t>
      </w:r>
    </w:p>
    <w:tbl>
      <w:tblPr>
        <w:tblStyle w:val="33"/>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705"/>
        <w:gridCol w:w="2216"/>
        <w:gridCol w:w="3486"/>
      </w:tblGrid>
      <w:tr w14:paraId="0B8B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7836BD47">
            <w:pPr>
              <w:spacing w:line="360" w:lineRule="auto"/>
              <w:jc w:val="center"/>
              <w:rPr>
                <w:rFonts w:ascii="宋体" w:hAnsi="宋体"/>
                <w:szCs w:val="21"/>
              </w:rPr>
            </w:pPr>
            <w:r>
              <w:rPr>
                <w:rFonts w:hint="eastAsia" w:ascii="宋体" w:hAnsi="宋体"/>
                <w:szCs w:val="21"/>
              </w:rPr>
              <w:t>序号</w:t>
            </w:r>
          </w:p>
        </w:tc>
        <w:tc>
          <w:tcPr>
            <w:tcW w:w="1705" w:type="dxa"/>
            <w:tcBorders>
              <w:top w:val="single" w:color="auto" w:sz="4" w:space="0"/>
              <w:left w:val="single" w:color="auto" w:sz="4" w:space="0"/>
              <w:bottom w:val="single" w:color="auto" w:sz="4" w:space="0"/>
              <w:right w:val="single" w:color="auto" w:sz="4" w:space="0"/>
            </w:tcBorders>
          </w:tcPr>
          <w:p w14:paraId="5AEB980A">
            <w:pPr>
              <w:spacing w:line="360" w:lineRule="auto"/>
              <w:jc w:val="center"/>
              <w:rPr>
                <w:rFonts w:ascii="宋体" w:hAnsi="宋体"/>
                <w:szCs w:val="21"/>
              </w:rPr>
            </w:pPr>
            <w:r>
              <w:rPr>
                <w:rFonts w:hint="eastAsia" w:ascii="宋体" w:hAnsi="宋体"/>
                <w:szCs w:val="21"/>
              </w:rPr>
              <w:t>伤害程度</w:t>
            </w:r>
          </w:p>
        </w:tc>
        <w:tc>
          <w:tcPr>
            <w:tcW w:w="2216" w:type="dxa"/>
            <w:tcBorders>
              <w:top w:val="single" w:color="auto" w:sz="4" w:space="0"/>
              <w:left w:val="single" w:color="auto" w:sz="4" w:space="0"/>
              <w:bottom w:val="single" w:color="auto" w:sz="4" w:space="0"/>
              <w:right w:val="single" w:color="auto" w:sz="4" w:space="0"/>
            </w:tcBorders>
          </w:tcPr>
          <w:p w14:paraId="4FF5EBD9">
            <w:pPr>
              <w:spacing w:line="360" w:lineRule="auto"/>
              <w:jc w:val="center"/>
              <w:rPr>
                <w:rFonts w:ascii="宋体" w:hAnsi="宋体"/>
                <w:szCs w:val="21"/>
              </w:rPr>
            </w:pPr>
            <w:r>
              <w:rPr>
                <w:rFonts w:hint="eastAsia" w:ascii="宋体" w:hAnsi="宋体"/>
                <w:szCs w:val="21"/>
              </w:rPr>
              <w:t>超压△P*10</w:t>
            </w:r>
            <w:r>
              <w:rPr>
                <w:rFonts w:hint="eastAsia" w:ascii="宋体" w:hAnsi="宋体"/>
                <w:szCs w:val="21"/>
                <w:vertAlign w:val="superscript"/>
              </w:rPr>
              <w:t>5</w:t>
            </w:r>
            <w:r>
              <w:rPr>
                <w:rFonts w:hint="eastAsia" w:ascii="宋体" w:hAnsi="宋体"/>
                <w:szCs w:val="21"/>
              </w:rPr>
              <w:t>（Pa）</w:t>
            </w:r>
          </w:p>
        </w:tc>
        <w:tc>
          <w:tcPr>
            <w:tcW w:w="3486" w:type="dxa"/>
            <w:tcBorders>
              <w:top w:val="single" w:color="auto" w:sz="4" w:space="0"/>
              <w:left w:val="single" w:color="auto" w:sz="4" w:space="0"/>
              <w:bottom w:val="single" w:color="auto" w:sz="4" w:space="0"/>
              <w:right w:val="single" w:color="auto" w:sz="4" w:space="0"/>
            </w:tcBorders>
          </w:tcPr>
          <w:p w14:paraId="6DD2B5EB">
            <w:pPr>
              <w:spacing w:line="360" w:lineRule="auto"/>
              <w:jc w:val="center"/>
              <w:rPr>
                <w:rFonts w:ascii="宋体" w:hAnsi="宋体"/>
                <w:szCs w:val="21"/>
              </w:rPr>
            </w:pPr>
            <w:r>
              <w:rPr>
                <w:rFonts w:hint="eastAsia" w:ascii="宋体" w:hAnsi="宋体"/>
                <w:szCs w:val="21"/>
              </w:rPr>
              <w:t>伤害情况</w:t>
            </w:r>
          </w:p>
        </w:tc>
      </w:tr>
      <w:tr w14:paraId="6D6D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107CB67E">
            <w:pPr>
              <w:spacing w:line="360" w:lineRule="auto"/>
              <w:jc w:val="center"/>
              <w:rPr>
                <w:rFonts w:ascii="宋体" w:hAnsi="宋体"/>
                <w:szCs w:val="21"/>
              </w:rPr>
            </w:pPr>
            <w:r>
              <w:rPr>
                <w:rFonts w:hint="eastAsia" w:ascii="宋体" w:hAnsi="宋体"/>
                <w:szCs w:val="21"/>
              </w:rPr>
              <w:t>1</w:t>
            </w:r>
          </w:p>
        </w:tc>
        <w:tc>
          <w:tcPr>
            <w:tcW w:w="1705" w:type="dxa"/>
            <w:tcBorders>
              <w:top w:val="single" w:color="auto" w:sz="4" w:space="0"/>
              <w:left w:val="single" w:color="auto" w:sz="4" w:space="0"/>
              <w:bottom w:val="single" w:color="auto" w:sz="4" w:space="0"/>
              <w:right w:val="single" w:color="auto" w:sz="4" w:space="0"/>
            </w:tcBorders>
          </w:tcPr>
          <w:p w14:paraId="4AC3EFFC">
            <w:pPr>
              <w:spacing w:line="360" w:lineRule="auto"/>
              <w:jc w:val="center"/>
              <w:rPr>
                <w:rFonts w:ascii="宋体" w:hAnsi="宋体"/>
                <w:szCs w:val="21"/>
              </w:rPr>
            </w:pPr>
            <w:r>
              <w:rPr>
                <w:rFonts w:hint="eastAsia" w:ascii="宋体" w:hAnsi="宋体"/>
                <w:szCs w:val="21"/>
              </w:rPr>
              <w:t>轻微</w:t>
            </w:r>
          </w:p>
        </w:tc>
        <w:tc>
          <w:tcPr>
            <w:tcW w:w="2216" w:type="dxa"/>
            <w:tcBorders>
              <w:top w:val="single" w:color="auto" w:sz="4" w:space="0"/>
              <w:left w:val="single" w:color="auto" w:sz="4" w:space="0"/>
              <w:bottom w:val="single" w:color="auto" w:sz="4" w:space="0"/>
              <w:right w:val="single" w:color="auto" w:sz="4" w:space="0"/>
            </w:tcBorders>
          </w:tcPr>
          <w:p w14:paraId="4576E6F2">
            <w:pPr>
              <w:spacing w:line="360" w:lineRule="auto"/>
              <w:jc w:val="center"/>
              <w:rPr>
                <w:rFonts w:ascii="宋体" w:hAnsi="宋体"/>
                <w:szCs w:val="21"/>
              </w:rPr>
            </w:pPr>
            <w:r>
              <w:rPr>
                <w:rFonts w:hint="eastAsia" w:ascii="宋体" w:hAnsi="宋体"/>
                <w:szCs w:val="21"/>
              </w:rPr>
              <w:t>0.2～0.3</w:t>
            </w:r>
          </w:p>
        </w:tc>
        <w:tc>
          <w:tcPr>
            <w:tcW w:w="3486" w:type="dxa"/>
            <w:tcBorders>
              <w:top w:val="single" w:color="auto" w:sz="4" w:space="0"/>
              <w:left w:val="single" w:color="auto" w:sz="4" w:space="0"/>
              <w:bottom w:val="single" w:color="auto" w:sz="4" w:space="0"/>
              <w:right w:val="single" w:color="auto" w:sz="4" w:space="0"/>
            </w:tcBorders>
          </w:tcPr>
          <w:p w14:paraId="6C6F4D2B">
            <w:pPr>
              <w:spacing w:line="360" w:lineRule="auto"/>
              <w:jc w:val="center"/>
              <w:rPr>
                <w:rFonts w:ascii="宋体" w:hAnsi="宋体"/>
                <w:szCs w:val="21"/>
              </w:rPr>
            </w:pPr>
            <w:r>
              <w:rPr>
                <w:rFonts w:hint="eastAsia" w:ascii="宋体" w:hAnsi="宋体"/>
                <w:szCs w:val="21"/>
              </w:rPr>
              <w:t>轻微挫伤</w:t>
            </w:r>
          </w:p>
        </w:tc>
      </w:tr>
      <w:tr w14:paraId="067C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0DE0DF2">
            <w:pPr>
              <w:spacing w:line="360" w:lineRule="auto"/>
              <w:jc w:val="center"/>
              <w:rPr>
                <w:rFonts w:ascii="宋体" w:hAnsi="宋体"/>
                <w:szCs w:val="21"/>
              </w:rPr>
            </w:pPr>
            <w:r>
              <w:rPr>
                <w:rFonts w:hint="eastAsia" w:ascii="宋体" w:hAnsi="宋体"/>
                <w:szCs w:val="21"/>
              </w:rPr>
              <w:t>2</w:t>
            </w:r>
          </w:p>
        </w:tc>
        <w:tc>
          <w:tcPr>
            <w:tcW w:w="1705" w:type="dxa"/>
            <w:tcBorders>
              <w:top w:val="single" w:color="auto" w:sz="4" w:space="0"/>
              <w:left w:val="single" w:color="auto" w:sz="4" w:space="0"/>
              <w:bottom w:val="single" w:color="auto" w:sz="4" w:space="0"/>
              <w:right w:val="single" w:color="auto" w:sz="4" w:space="0"/>
            </w:tcBorders>
          </w:tcPr>
          <w:p w14:paraId="6EDE812D">
            <w:pPr>
              <w:spacing w:line="360" w:lineRule="auto"/>
              <w:jc w:val="center"/>
              <w:rPr>
                <w:rFonts w:ascii="宋体" w:hAnsi="宋体"/>
                <w:szCs w:val="21"/>
              </w:rPr>
            </w:pPr>
            <w:r>
              <w:rPr>
                <w:rFonts w:hint="eastAsia" w:ascii="宋体" w:hAnsi="宋体"/>
                <w:szCs w:val="21"/>
              </w:rPr>
              <w:t>中等</w:t>
            </w:r>
          </w:p>
        </w:tc>
        <w:tc>
          <w:tcPr>
            <w:tcW w:w="2216" w:type="dxa"/>
            <w:tcBorders>
              <w:top w:val="single" w:color="auto" w:sz="4" w:space="0"/>
              <w:left w:val="single" w:color="auto" w:sz="4" w:space="0"/>
              <w:bottom w:val="single" w:color="auto" w:sz="4" w:space="0"/>
              <w:right w:val="single" w:color="auto" w:sz="4" w:space="0"/>
            </w:tcBorders>
          </w:tcPr>
          <w:p w14:paraId="3C2D9483">
            <w:pPr>
              <w:spacing w:line="360" w:lineRule="auto"/>
              <w:jc w:val="center"/>
              <w:rPr>
                <w:rFonts w:ascii="宋体" w:hAnsi="宋体"/>
                <w:szCs w:val="21"/>
              </w:rPr>
            </w:pPr>
            <w:r>
              <w:rPr>
                <w:rFonts w:hint="eastAsia" w:ascii="宋体" w:hAnsi="宋体"/>
                <w:szCs w:val="21"/>
              </w:rPr>
              <w:t>0.3～0.5</w:t>
            </w:r>
          </w:p>
        </w:tc>
        <w:tc>
          <w:tcPr>
            <w:tcW w:w="3486" w:type="dxa"/>
            <w:tcBorders>
              <w:top w:val="single" w:color="auto" w:sz="4" w:space="0"/>
              <w:left w:val="single" w:color="auto" w:sz="4" w:space="0"/>
              <w:bottom w:val="single" w:color="auto" w:sz="4" w:space="0"/>
              <w:right w:val="single" w:color="auto" w:sz="4" w:space="0"/>
            </w:tcBorders>
          </w:tcPr>
          <w:p w14:paraId="0AAC3DF6">
            <w:pPr>
              <w:spacing w:line="360" w:lineRule="auto"/>
              <w:ind w:right="-351" w:rightChars="-167"/>
              <w:jc w:val="center"/>
              <w:rPr>
                <w:rFonts w:ascii="宋体" w:hAnsi="宋体"/>
                <w:szCs w:val="21"/>
              </w:rPr>
            </w:pPr>
            <w:r>
              <w:rPr>
                <w:rFonts w:hint="eastAsia" w:ascii="宋体" w:hAnsi="宋体"/>
                <w:szCs w:val="21"/>
              </w:rPr>
              <w:t>听觉、气管损伤、中等挫伤、骨折</w:t>
            </w:r>
          </w:p>
        </w:tc>
      </w:tr>
      <w:tr w14:paraId="55E9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AA922CE">
            <w:pPr>
              <w:spacing w:line="360" w:lineRule="auto"/>
              <w:jc w:val="center"/>
              <w:rPr>
                <w:rFonts w:ascii="宋体" w:hAnsi="宋体"/>
                <w:szCs w:val="21"/>
              </w:rPr>
            </w:pPr>
            <w:r>
              <w:rPr>
                <w:rFonts w:hint="eastAsia" w:ascii="宋体" w:hAnsi="宋体"/>
                <w:szCs w:val="21"/>
              </w:rPr>
              <w:t>3</w:t>
            </w:r>
          </w:p>
        </w:tc>
        <w:tc>
          <w:tcPr>
            <w:tcW w:w="1705" w:type="dxa"/>
            <w:tcBorders>
              <w:top w:val="single" w:color="auto" w:sz="4" w:space="0"/>
              <w:left w:val="single" w:color="auto" w:sz="4" w:space="0"/>
              <w:bottom w:val="single" w:color="auto" w:sz="4" w:space="0"/>
              <w:right w:val="single" w:color="auto" w:sz="4" w:space="0"/>
            </w:tcBorders>
          </w:tcPr>
          <w:p w14:paraId="48C1B4A0">
            <w:pPr>
              <w:spacing w:line="360" w:lineRule="auto"/>
              <w:jc w:val="center"/>
              <w:rPr>
                <w:rFonts w:ascii="宋体" w:hAnsi="宋体"/>
                <w:szCs w:val="21"/>
              </w:rPr>
            </w:pPr>
            <w:r>
              <w:rPr>
                <w:rFonts w:hint="eastAsia" w:ascii="宋体" w:hAnsi="宋体"/>
                <w:szCs w:val="21"/>
              </w:rPr>
              <w:t>严重</w:t>
            </w:r>
          </w:p>
        </w:tc>
        <w:tc>
          <w:tcPr>
            <w:tcW w:w="2216" w:type="dxa"/>
            <w:tcBorders>
              <w:top w:val="single" w:color="auto" w:sz="4" w:space="0"/>
              <w:left w:val="single" w:color="auto" w:sz="4" w:space="0"/>
              <w:bottom w:val="single" w:color="auto" w:sz="4" w:space="0"/>
              <w:right w:val="single" w:color="auto" w:sz="4" w:space="0"/>
            </w:tcBorders>
          </w:tcPr>
          <w:p w14:paraId="3FD812FD">
            <w:pPr>
              <w:spacing w:line="360" w:lineRule="auto"/>
              <w:jc w:val="center"/>
              <w:rPr>
                <w:rFonts w:ascii="宋体" w:hAnsi="宋体"/>
                <w:szCs w:val="21"/>
              </w:rPr>
            </w:pPr>
            <w:r>
              <w:rPr>
                <w:rFonts w:hint="eastAsia" w:ascii="宋体" w:hAnsi="宋体"/>
                <w:szCs w:val="21"/>
              </w:rPr>
              <w:t>0.5～1</w:t>
            </w:r>
          </w:p>
        </w:tc>
        <w:tc>
          <w:tcPr>
            <w:tcW w:w="3486" w:type="dxa"/>
            <w:tcBorders>
              <w:top w:val="single" w:color="auto" w:sz="4" w:space="0"/>
              <w:left w:val="single" w:color="auto" w:sz="4" w:space="0"/>
              <w:bottom w:val="single" w:color="auto" w:sz="4" w:space="0"/>
              <w:right w:val="single" w:color="auto" w:sz="4" w:space="0"/>
            </w:tcBorders>
          </w:tcPr>
          <w:p w14:paraId="2861E752">
            <w:pPr>
              <w:spacing w:line="360" w:lineRule="auto"/>
              <w:jc w:val="center"/>
              <w:rPr>
                <w:rFonts w:ascii="宋体" w:hAnsi="宋体"/>
                <w:szCs w:val="21"/>
              </w:rPr>
            </w:pPr>
            <w:r>
              <w:rPr>
                <w:rFonts w:hint="eastAsia" w:ascii="宋体" w:hAnsi="宋体"/>
                <w:szCs w:val="21"/>
              </w:rPr>
              <w:t>内脏严重挫伤，可能造成死亡</w:t>
            </w:r>
          </w:p>
        </w:tc>
      </w:tr>
      <w:tr w14:paraId="0377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6F199261">
            <w:pPr>
              <w:spacing w:line="360" w:lineRule="auto"/>
              <w:jc w:val="center"/>
              <w:rPr>
                <w:rFonts w:ascii="宋体" w:hAnsi="宋体"/>
                <w:szCs w:val="21"/>
              </w:rPr>
            </w:pPr>
            <w:r>
              <w:rPr>
                <w:rFonts w:hint="eastAsia" w:ascii="宋体" w:hAnsi="宋体"/>
                <w:szCs w:val="21"/>
              </w:rPr>
              <w:t>4</w:t>
            </w:r>
          </w:p>
        </w:tc>
        <w:tc>
          <w:tcPr>
            <w:tcW w:w="1705" w:type="dxa"/>
            <w:tcBorders>
              <w:top w:val="single" w:color="auto" w:sz="4" w:space="0"/>
              <w:left w:val="single" w:color="auto" w:sz="4" w:space="0"/>
              <w:bottom w:val="single" w:color="auto" w:sz="4" w:space="0"/>
              <w:right w:val="single" w:color="auto" w:sz="4" w:space="0"/>
            </w:tcBorders>
          </w:tcPr>
          <w:p w14:paraId="38F10CDD">
            <w:pPr>
              <w:spacing w:line="360" w:lineRule="auto"/>
              <w:jc w:val="center"/>
              <w:rPr>
                <w:rFonts w:ascii="宋体" w:hAnsi="宋体"/>
                <w:szCs w:val="21"/>
              </w:rPr>
            </w:pPr>
            <w:r>
              <w:rPr>
                <w:rFonts w:hint="eastAsia" w:ascii="宋体" w:hAnsi="宋体"/>
                <w:szCs w:val="21"/>
              </w:rPr>
              <w:t>极严重</w:t>
            </w:r>
          </w:p>
        </w:tc>
        <w:tc>
          <w:tcPr>
            <w:tcW w:w="2216" w:type="dxa"/>
            <w:tcBorders>
              <w:top w:val="single" w:color="auto" w:sz="4" w:space="0"/>
              <w:left w:val="single" w:color="auto" w:sz="4" w:space="0"/>
              <w:bottom w:val="single" w:color="auto" w:sz="4" w:space="0"/>
              <w:right w:val="single" w:color="auto" w:sz="4" w:space="0"/>
            </w:tcBorders>
          </w:tcPr>
          <w:p w14:paraId="23F27803">
            <w:pPr>
              <w:spacing w:line="360" w:lineRule="auto"/>
              <w:jc w:val="center"/>
              <w:rPr>
                <w:rFonts w:ascii="宋体" w:hAnsi="宋体"/>
                <w:szCs w:val="21"/>
              </w:rPr>
            </w:pPr>
            <w:r>
              <w:rPr>
                <w:rFonts w:hint="eastAsia" w:ascii="宋体" w:hAnsi="宋体"/>
                <w:szCs w:val="21"/>
              </w:rPr>
              <w:t>＞1</w:t>
            </w:r>
          </w:p>
        </w:tc>
        <w:tc>
          <w:tcPr>
            <w:tcW w:w="3486" w:type="dxa"/>
            <w:tcBorders>
              <w:top w:val="single" w:color="auto" w:sz="4" w:space="0"/>
              <w:left w:val="single" w:color="auto" w:sz="4" w:space="0"/>
              <w:bottom w:val="single" w:color="auto" w:sz="4" w:space="0"/>
              <w:right w:val="single" w:color="auto" w:sz="4" w:space="0"/>
            </w:tcBorders>
          </w:tcPr>
          <w:p w14:paraId="6A0077DA">
            <w:pPr>
              <w:spacing w:line="360" w:lineRule="auto"/>
              <w:jc w:val="center"/>
              <w:rPr>
                <w:rFonts w:ascii="宋体" w:hAnsi="宋体"/>
                <w:szCs w:val="21"/>
              </w:rPr>
            </w:pPr>
            <w:r>
              <w:rPr>
                <w:rFonts w:hint="eastAsia" w:ascii="宋体" w:hAnsi="宋体"/>
                <w:szCs w:val="21"/>
              </w:rPr>
              <w:t>大部分人死亡</w:t>
            </w:r>
          </w:p>
        </w:tc>
      </w:tr>
    </w:tbl>
    <w:p w14:paraId="62CD769F">
      <w:pPr>
        <w:spacing w:line="360" w:lineRule="auto"/>
        <w:ind w:firstLine="560" w:firstLineChars="200"/>
        <w:rPr>
          <w:rFonts w:ascii="宋体" w:hAnsi="宋体"/>
          <w:sz w:val="28"/>
          <w:szCs w:val="28"/>
        </w:rPr>
      </w:pPr>
      <w:r>
        <w:rPr>
          <w:rFonts w:hint="eastAsia" w:ascii="宋体" w:hAnsi="宋体"/>
          <w:sz w:val="28"/>
          <w:szCs w:val="28"/>
        </w:rPr>
        <w:t>设△P=△Pm，将爆炸能量计算结果带入上式，则可模拟计算出加油站地下储油罐发生爆炸时产生的爆炸冲击波对人员和建筑物的伤害分布情况，详见下表：</w:t>
      </w:r>
    </w:p>
    <w:p w14:paraId="2B1F616B">
      <w:pPr>
        <w:pStyle w:val="11"/>
        <w:spacing w:line="500" w:lineRule="exact"/>
        <w:ind w:firstLine="600"/>
        <w:jc w:val="center"/>
        <w:rPr>
          <w:rFonts w:ascii="宋体" w:hAnsi="宋体"/>
          <w:bCs/>
          <w:sz w:val="28"/>
          <w:szCs w:val="28"/>
        </w:rPr>
      </w:pPr>
      <w:r>
        <w:rPr>
          <w:rFonts w:hint="eastAsia" w:ascii="宋体" w:hAnsi="宋体"/>
          <w:bCs/>
          <w:sz w:val="28"/>
          <w:szCs w:val="28"/>
        </w:rPr>
        <w:t>表5-2 加油站地下储油罐爆炸冲击波对人员最大伤害计算</w:t>
      </w:r>
    </w:p>
    <w:tbl>
      <w:tblPr>
        <w:tblStyle w:val="3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970"/>
        <w:gridCol w:w="862"/>
        <w:gridCol w:w="1062"/>
        <w:gridCol w:w="902"/>
        <w:gridCol w:w="1082"/>
        <w:gridCol w:w="862"/>
        <w:gridCol w:w="1104"/>
        <w:gridCol w:w="919"/>
      </w:tblGrid>
      <w:tr w14:paraId="414E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top"/>
          </w:tcPr>
          <w:p w14:paraId="4A4F4A3C">
            <w:pPr>
              <w:spacing w:line="360" w:lineRule="auto"/>
              <w:rPr>
                <w:rFonts w:hAnsi="宋体"/>
                <w:szCs w:val="21"/>
              </w:rPr>
            </w:pPr>
            <w:bookmarkStart w:id="379" w:name="_Toc71894928"/>
            <w:r>
              <w:rPr>
                <w:rFonts w:hint="eastAsia" w:hAnsi="宋体"/>
                <w:color w:val="000000"/>
                <w:szCs w:val="21"/>
              </w:rPr>
              <w:t>油罐容积</w:t>
            </w:r>
          </w:p>
        </w:tc>
        <w:tc>
          <w:tcPr>
            <w:tcW w:w="970" w:type="dxa"/>
            <w:vAlign w:val="top"/>
          </w:tcPr>
          <w:p w14:paraId="43493CC1">
            <w:pPr>
              <w:spacing w:line="360" w:lineRule="auto"/>
              <w:rPr>
                <w:rFonts w:hAnsi="宋体"/>
                <w:szCs w:val="21"/>
              </w:rPr>
            </w:pPr>
            <w:r>
              <w:rPr>
                <w:rFonts w:hint="eastAsia" w:hAnsi="宋体"/>
                <w:color w:val="000000"/>
                <w:szCs w:val="21"/>
              </w:rPr>
              <w:t>爆炸能量W</w:t>
            </w:r>
            <w:r>
              <w:rPr>
                <w:rFonts w:hint="eastAsia" w:hAnsi="宋体"/>
                <w:color w:val="000000"/>
                <w:szCs w:val="21"/>
                <w:vertAlign w:val="subscript"/>
              </w:rPr>
              <w:t>TNT</w:t>
            </w:r>
          </w:p>
        </w:tc>
        <w:tc>
          <w:tcPr>
            <w:tcW w:w="862" w:type="dxa"/>
            <w:vAlign w:val="top"/>
          </w:tcPr>
          <w:p w14:paraId="1BF7625C">
            <w:pPr>
              <w:spacing w:line="360" w:lineRule="auto"/>
              <w:rPr>
                <w:rFonts w:hAnsi="宋体"/>
                <w:szCs w:val="21"/>
              </w:rPr>
            </w:pPr>
            <w:r>
              <w:rPr>
                <w:rFonts w:hint="eastAsia" w:hAnsi="宋体"/>
                <w:color w:val="000000"/>
                <w:szCs w:val="21"/>
              </w:rPr>
              <w:t>人员死亡半径</w:t>
            </w:r>
          </w:p>
        </w:tc>
        <w:tc>
          <w:tcPr>
            <w:tcW w:w="1062" w:type="dxa"/>
            <w:vAlign w:val="top"/>
          </w:tcPr>
          <w:p w14:paraId="1E1CF922">
            <w:pPr>
              <w:spacing w:line="360" w:lineRule="auto"/>
              <w:rPr>
                <w:rFonts w:hAnsi="宋体"/>
                <w:szCs w:val="21"/>
              </w:rPr>
            </w:pPr>
            <w:r>
              <w:rPr>
                <w:rFonts w:hint="eastAsia" w:hAnsi="宋体"/>
                <w:color w:val="000000"/>
                <w:szCs w:val="21"/>
              </w:rPr>
              <w:t>人员死亡伤害面积</w:t>
            </w:r>
          </w:p>
        </w:tc>
        <w:tc>
          <w:tcPr>
            <w:tcW w:w="902" w:type="dxa"/>
            <w:vAlign w:val="top"/>
          </w:tcPr>
          <w:p w14:paraId="2BA540BB">
            <w:pPr>
              <w:spacing w:line="360" w:lineRule="auto"/>
              <w:rPr>
                <w:rFonts w:hAnsi="宋体"/>
                <w:szCs w:val="21"/>
              </w:rPr>
            </w:pPr>
            <w:r>
              <w:rPr>
                <w:rFonts w:hint="eastAsia" w:hAnsi="宋体"/>
                <w:color w:val="000000"/>
                <w:szCs w:val="21"/>
              </w:rPr>
              <w:t>人员重伤半径</w:t>
            </w:r>
          </w:p>
        </w:tc>
        <w:tc>
          <w:tcPr>
            <w:tcW w:w="1082" w:type="dxa"/>
            <w:vAlign w:val="top"/>
          </w:tcPr>
          <w:p w14:paraId="1D75F910">
            <w:pPr>
              <w:spacing w:line="360" w:lineRule="auto"/>
              <w:rPr>
                <w:rFonts w:hAnsi="宋体"/>
                <w:szCs w:val="21"/>
              </w:rPr>
            </w:pPr>
            <w:r>
              <w:rPr>
                <w:rFonts w:hint="eastAsia" w:hAnsi="宋体"/>
                <w:color w:val="000000"/>
                <w:szCs w:val="21"/>
              </w:rPr>
              <w:t>人员重伤伤害面积</w:t>
            </w:r>
          </w:p>
        </w:tc>
        <w:tc>
          <w:tcPr>
            <w:tcW w:w="862" w:type="dxa"/>
            <w:vAlign w:val="top"/>
          </w:tcPr>
          <w:p w14:paraId="608CDD65">
            <w:pPr>
              <w:spacing w:line="360" w:lineRule="auto"/>
              <w:rPr>
                <w:rFonts w:hAnsi="宋体"/>
                <w:szCs w:val="21"/>
              </w:rPr>
            </w:pPr>
            <w:r>
              <w:rPr>
                <w:rFonts w:hint="eastAsia" w:hAnsi="宋体"/>
                <w:color w:val="000000"/>
                <w:szCs w:val="21"/>
              </w:rPr>
              <w:t>人员轻伤半径</w:t>
            </w:r>
          </w:p>
        </w:tc>
        <w:tc>
          <w:tcPr>
            <w:tcW w:w="1104" w:type="dxa"/>
            <w:vAlign w:val="top"/>
          </w:tcPr>
          <w:p w14:paraId="4A1585FB">
            <w:pPr>
              <w:spacing w:line="360" w:lineRule="auto"/>
              <w:rPr>
                <w:rFonts w:hAnsi="宋体"/>
                <w:szCs w:val="21"/>
              </w:rPr>
            </w:pPr>
            <w:r>
              <w:rPr>
                <w:rFonts w:hint="eastAsia" w:hAnsi="宋体"/>
                <w:color w:val="000000"/>
                <w:szCs w:val="21"/>
              </w:rPr>
              <w:t>人员轻伤伤害面积</w:t>
            </w:r>
          </w:p>
        </w:tc>
        <w:tc>
          <w:tcPr>
            <w:tcW w:w="919" w:type="dxa"/>
            <w:vAlign w:val="top"/>
          </w:tcPr>
          <w:p w14:paraId="1A7672B0">
            <w:pPr>
              <w:spacing w:line="360" w:lineRule="auto"/>
              <w:ind w:left="-29" w:leftChars="-14"/>
              <w:rPr>
                <w:rFonts w:hAnsi="宋体"/>
                <w:szCs w:val="21"/>
              </w:rPr>
            </w:pPr>
            <w:r>
              <w:rPr>
                <w:rFonts w:hint="eastAsia" w:hAnsi="宋体"/>
                <w:color w:val="000000"/>
                <w:szCs w:val="21"/>
              </w:rPr>
              <w:t>安全距离</w:t>
            </w:r>
          </w:p>
        </w:tc>
      </w:tr>
      <w:tr w14:paraId="4700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Merge w:val="restart"/>
            <w:vAlign w:val="top"/>
          </w:tcPr>
          <w:p w14:paraId="01394EA2">
            <w:pPr>
              <w:spacing w:line="360" w:lineRule="auto"/>
              <w:rPr>
                <w:rFonts w:hAnsi="宋体"/>
                <w:color w:val="000000"/>
                <w:szCs w:val="21"/>
              </w:rPr>
            </w:pPr>
            <w:r>
              <w:rPr>
                <w:rFonts w:hint="eastAsia" w:hAnsi="宋体"/>
                <w:color w:val="000000"/>
                <w:szCs w:val="21"/>
              </w:rPr>
              <w:t>30m</w:t>
            </w:r>
            <w:r>
              <w:rPr>
                <w:rFonts w:hint="eastAsia" w:hAnsi="宋体"/>
                <w:color w:val="000000"/>
                <w:szCs w:val="21"/>
                <w:vertAlign w:val="superscript"/>
              </w:rPr>
              <w:t>3</w:t>
            </w:r>
          </w:p>
          <w:p w14:paraId="64BFCDB7">
            <w:pPr>
              <w:spacing w:line="360" w:lineRule="auto"/>
              <w:rPr>
                <w:rFonts w:hAnsi="宋体"/>
                <w:szCs w:val="21"/>
              </w:rPr>
            </w:pPr>
          </w:p>
        </w:tc>
        <w:tc>
          <w:tcPr>
            <w:tcW w:w="970" w:type="dxa"/>
            <w:vAlign w:val="top"/>
          </w:tcPr>
          <w:p w14:paraId="1B3D3908">
            <w:pPr>
              <w:spacing w:line="360" w:lineRule="auto"/>
              <w:rPr>
                <w:rFonts w:hAnsi="宋体"/>
                <w:szCs w:val="21"/>
              </w:rPr>
            </w:pPr>
            <w:r>
              <w:rPr>
                <w:rFonts w:hint="eastAsia" w:hAnsi="宋体"/>
                <w:color w:val="000000"/>
                <w:szCs w:val="21"/>
              </w:rPr>
              <w:t>0.35</w:t>
            </w:r>
          </w:p>
        </w:tc>
        <w:tc>
          <w:tcPr>
            <w:tcW w:w="862" w:type="dxa"/>
            <w:vAlign w:val="top"/>
          </w:tcPr>
          <w:p w14:paraId="240415F8">
            <w:pPr>
              <w:spacing w:line="360" w:lineRule="auto"/>
              <w:rPr>
                <w:rFonts w:hAnsi="宋体"/>
                <w:szCs w:val="21"/>
              </w:rPr>
            </w:pPr>
            <w:r>
              <w:rPr>
                <w:rFonts w:hint="eastAsia" w:hAnsi="宋体"/>
                <w:color w:val="000000"/>
                <w:szCs w:val="21"/>
              </w:rPr>
              <w:t>1.11m</w:t>
            </w:r>
          </w:p>
        </w:tc>
        <w:tc>
          <w:tcPr>
            <w:tcW w:w="1062" w:type="dxa"/>
            <w:vAlign w:val="top"/>
          </w:tcPr>
          <w:p w14:paraId="7DEE9C1F">
            <w:pPr>
              <w:spacing w:line="360" w:lineRule="auto"/>
              <w:rPr>
                <w:rFonts w:hAnsi="宋体"/>
                <w:szCs w:val="21"/>
              </w:rPr>
            </w:pPr>
            <w:r>
              <w:rPr>
                <w:rFonts w:hint="eastAsia" w:hAnsi="宋体"/>
                <w:color w:val="000000"/>
                <w:szCs w:val="21"/>
              </w:rPr>
              <w:t>3.86㎡</w:t>
            </w:r>
          </w:p>
        </w:tc>
        <w:tc>
          <w:tcPr>
            <w:tcW w:w="902" w:type="dxa"/>
            <w:vAlign w:val="top"/>
          </w:tcPr>
          <w:p w14:paraId="53F8612B">
            <w:pPr>
              <w:spacing w:line="360" w:lineRule="auto"/>
              <w:rPr>
                <w:rFonts w:hAnsi="宋体"/>
                <w:szCs w:val="21"/>
              </w:rPr>
            </w:pPr>
            <w:r>
              <w:rPr>
                <w:rFonts w:hint="eastAsia" w:hAnsi="宋体"/>
                <w:color w:val="000000"/>
                <w:szCs w:val="21"/>
              </w:rPr>
              <w:t>1.4m</w:t>
            </w:r>
          </w:p>
        </w:tc>
        <w:tc>
          <w:tcPr>
            <w:tcW w:w="1082" w:type="dxa"/>
            <w:vAlign w:val="top"/>
          </w:tcPr>
          <w:p w14:paraId="52C0B010">
            <w:pPr>
              <w:spacing w:line="360" w:lineRule="auto"/>
              <w:rPr>
                <w:rFonts w:hAnsi="宋体"/>
                <w:szCs w:val="21"/>
              </w:rPr>
            </w:pPr>
            <w:r>
              <w:rPr>
                <w:rFonts w:hint="eastAsia" w:hAnsi="宋体"/>
                <w:color w:val="000000"/>
                <w:szCs w:val="21"/>
              </w:rPr>
              <w:t>6.15㎡</w:t>
            </w:r>
          </w:p>
        </w:tc>
        <w:tc>
          <w:tcPr>
            <w:tcW w:w="862" w:type="dxa"/>
            <w:vAlign w:val="top"/>
          </w:tcPr>
          <w:p w14:paraId="14CB053D">
            <w:pPr>
              <w:spacing w:line="360" w:lineRule="auto"/>
              <w:rPr>
                <w:rFonts w:hAnsi="宋体"/>
                <w:szCs w:val="21"/>
              </w:rPr>
            </w:pPr>
            <w:r>
              <w:rPr>
                <w:rFonts w:hint="eastAsia" w:hAnsi="宋体"/>
                <w:color w:val="000000"/>
                <w:szCs w:val="21"/>
              </w:rPr>
              <w:t>1.77m</w:t>
            </w:r>
          </w:p>
        </w:tc>
        <w:tc>
          <w:tcPr>
            <w:tcW w:w="1104" w:type="dxa"/>
            <w:vAlign w:val="top"/>
          </w:tcPr>
          <w:p w14:paraId="1B69B9EC">
            <w:pPr>
              <w:spacing w:line="360" w:lineRule="auto"/>
              <w:rPr>
                <w:rFonts w:hAnsi="宋体"/>
                <w:szCs w:val="21"/>
              </w:rPr>
            </w:pPr>
            <w:r>
              <w:rPr>
                <w:rFonts w:hint="eastAsia" w:hAnsi="宋体"/>
                <w:color w:val="000000"/>
                <w:szCs w:val="21"/>
              </w:rPr>
              <w:t>9.8㎡</w:t>
            </w:r>
          </w:p>
        </w:tc>
        <w:tc>
          <w:tcPr>
            <w:tcW w:w="919" w:type="dxa"/>
            <w:vAlign w:val="top"/>
          </w:tcPr>
          <w:p w14:paraId="1D320FDD">
            <w:pPr>
              <w:spacing w:line="360" w:lineRule="auto"/>
              <w:rPr>
                <w:rFonts w:hAnsi="宋体"/>
                <w:szCs w:val="21"/>
              </w:rPr>
            </w:pPr>
            <w:r>
              <w:rPr>
                <w:rFonts w:hint="eastAsia" w:hAnsi="宋体"/>
                <w:color w:val="000000"/>
                <w:szCs w:val="21"/>
              </w:rPr>
              <w:t>28m</w:t>
            </w:r>
          </w:p>
        </w:tc>
      </w:tr>
      <w:tr w14:paraId="150F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Merge w:val="continue"/>
            <w:vAlign w:val="top"/>
          </w:tcPr>
          <w:p w14:paraId="4BA4C9E1">
            <w:pPr>
              <w:spacing w:line="360" w:lineRule="auto"/>
              <w:rPr>
                <w:rFonts w:hAnsi="宋体"/>
                <w:szCs w:val="21"/>
              </w:rPr>
            </w:pPr>
          </w:p>
        </w:tc>
        <w:tc>
          <w:tcPr>
            <w:tcW w:w="970" w:type="dxa"/>
            <w:vAlign w:val="top"/>
          </w:tcPr>
          <w:p w14:paraId="616F5951">
            <w:pPr>
              <w:spacing w:line="360" w:lineRule="auto"/>
              <w:rPr>
                <w:rFonts w:hAnsi="宋体"/>
                <w:szCs w:val="21"/>
              </w:rPr>
            </w:pPr>
            <w:r>
              <w:rPr>
                <w:rFonts w:hint="eastAsia" w:hAnsi="宋体"/>
                <w:color w:val="000000"/>
                <w:szCs w:val="21"/>
              </w:rPr>
              <w:t>2.85</w:t>
            </w:r>
          </w:p>
        </w:tc>
        <w:tc>
          <w:tcPr>
            <w:tcW w:w="862" w:type="dxa"/>
            <w:vAlign w:val="top"/>
          </w:tcPr>
          <w:p w14:paraId="3FE6AAEB">
            <w:pPr>
              <w:spacing w:line="360" w:lineRule="auto"/>
              <w:rPr>
                <w:rFonts w:hAnsi="宋体"/>
                <w:szCs w:val="21"/>
              </w:rPr>
            </w:pPr>
            <w:r>
              <w:rPr>
                <w:rFonts w:hint="eastAsia" w:hAnsi="宋体"/>
                <w:color w:val="000000"/>
                <w:szCs w:val="21"/>
              </w:rPr>
              <w:t>2.25m</w:t>
            </w:r>
          </w:p>
        </w:tc>
        <w:tc>
          <w:tcPr>
            <w:tcW w:w="1062" w:type="dxa"/>
            <w:vAlign w:val="top"/>
          </w:tcPr>
          <w:p w14:paraId="5EB09B8B">
            <w:pPr>
              <w:spacing w:line="360" w:lineRule="auto"/>
              <w:rPr>
                <w:rFonts w:hAnsi="宋体"/>
                <w:szCs w:val="21"/>
              </w:rPr>
            </w:pPr>
            <w:r>
              <w:rPr>
                <w:rFonts w:hint="eastAsia" w:hAnsi="宋体"/>
                <w:color w:val="000000"/>
                <w:szCs w:val="21"/>
              </w:rPr>
              <w:t>15.89㎡</w:t>
            </w:r>
          </w:p>
        </w:tc>
        <w:tc>
          <w:tcPr>
            <w:tcW w:w="902" w:type="dxa"/>
            <w:vAlign w:val="top"/>
          </w:tcPr>
          <w:p w14:paraId="7CAFFFD4">
            <w:pPr>
              <w:spacing w:line="360" w:lineRule="auto"/>
              <w:rPr>
                <w:rFonts w:hAnsi="宋体"/>
                <w:szCs w:val="21"/>
              </w:rPr>
            </w:pPr>
            <w:r>
              <w:rPr>
                <w:rFonts w:hint="eastAsia" w:hAnsi="宋体"/>
                <w:color w:val="000000"/>
                <w:szCs w:val="21"/>
              </w:rPr>
              <w:t>2.83m</w:t>
            </w:r>
          </w:p>
        </w:tc>
        <w:tc>
          <w:tcPr>
            <w:tcW w:w="1082" w:type="dxa"/>
            <w:vAlign w:val="top"/>
          </w:tcPr>
          <w:p w14:paraId="1CADE9C3">
            <w:pPr>
              <w:spacing w:line="360" w:lineRule="auto"/>
              <w:rPr>
                <w:rFonts w:hAnsi="宋体"/>
                <w:szCs w:val="21"/>
              </w:rPr>
            </w:pPr>
            <w:r>
              <w:rPr>
                <w:rFonts w:hint="eastAsia" w:hAnsi="宋体"/>
                <w:color w:val="000000"/>
                <w:szCs w:val="21"/>
              </w:rPr>
              <w:t>25.14㎡</w:t>
            </w:r>
          </w:p>
        </w:tc>
        <w:tc>
          <w:tcPr>
            <w:tcW w:w="862" w:type="dxa"/>
            <w:vAlign w:val="top"/>
          </w:tcPr>
          <w:p w14:paraId="42A8490F">
            <w:pPr>
              <w:spacing w:line="360" w:lineRule="auto"/>
              <w:rPr>
                <w:rFonts w:hAnsi="宋体"/>
                <w:szCs w:val="21"/>
              </w:rPr>
            </w:pPr>
            <w:r>
              <w:rPr>
                <w:rFonts w:hint="eastAsia" w:hAnsi="宋体"/>
                <w:color w:val="000000"/>
                <w:szCs w:val="21"/>
              </w:rPr>
              <w:t>3.57m</w:t>
            </w:r>
          </w:p>
        </w:tc>
        <w:tc>
          <w:tcPr>
            <w:tcW w:w="1104" w:type="dxa"/>
            <w:vAlign w:val="top"/>
          </w:tcPr>
          <w:p w14:paraId="343B483F">
            <w:pPr>
              <w:spacing w:line="360" w:lineRule="auto"/>
              <w:rPr>
                <w:rFonts w:hAnsi="宋体"/>
                <w:szCs w:val="21"/>
              </w:rPr>
            </w:pPr>
            <w:r>
              <w:rPr>
                <w:rFonts w:hint="eastAsia" w:hAnsi="宋体"/>
                <w:color w:val="000000"/>
                <w:szCs w:val="21"/>
              </w:rPr>
              <w:t>40㎡</w:t>
            </w:r>
          </w:p>
        </w:tc>
        <w:tc>
          <w:tcPr>
            <w:tcW w:w="919" w:type="dxa"/>
            <w:vAlign w:val="top"/>
          </w:tcPr>
          <w:p w14:paraId="78AC03B7">
            <w:pPr>
              <w:spacing w:line="360" w:lineRule="auto"/>
              <w:rPr>
                <w:rFonts w:hAnsi="宋体"/>
                <w:szCs w:val="21"/>
              </w:rPr>
            </w:pPr>
            <w:r>
              <w:rPr>
                <w:rFonts w:hint="eastAsia" w:hAnsi="宋体"/>
                <w:color w:val="000000"/>
                <w:szCs w:val="21"/>
              </w:rPr>
              <w:t>116.8m</w:t>
            </w:r>
          </w:p>
        </w:tc>
      </w:tr>
    </w:tbl>
    <w:p w14:paraId="5DB7F24D">
      <w:pPr>
        <w:pStyle w:val="4"/>
        <w:spacing w:afterLines="100" w:line="500" w:lineRule="exact"/>
        <w:jc w:val="center"/>
        <w:rPr>
          <w:rFonts w:ascii="楷体_GB2312" w:hAnsi="宋体" w:eastAsia="楷体_GB2312"/>
          <w:kern w:val="3"/>
        </w:rPr>
      </w:pPr>
      <w:r>
        <w:rPr>
          <w:rFonts w:hint="eastAsia" w:ascii="楷体_GB2312" w:hAnsi="宋体" w:eastAsia="楷体_GB2312"/>
          <w:kern w:val="3"/>
        </w:rPr>
        <w:t>5.2 火灾爆炸事故分析</w:t>
      </w:r>
      <w:bookmarkEnd w:id="372"/>
      <w:bookmarkEnd w:id="379"/>
    </w:p>
    <w:p w14:paraId="0BA4E145">
      <w:pPr>
        <w:pStyle w:val="4"/>
        <w:spacing w:afterLines="100" w:line="500" w:lineRule="exact"/>
        <w:rPr>
          <w:rFonts w:ascii="黑体" w:hAnsi="宋体"/>
          <w:kern w:val="3"/>
          <w:sz w:val="28"/>
          <w:szCs w:val="28"/>
        </w:rPr>
      </w:pPr>
      <w:bookmarkStart w:id="380" w:name="_Toc71894929"/>
      <w:bookmarkStart w:id="381" w:name="_Toc326828416"/>
      <w:r>
        <w:rPr>
          <w:rFonts w:hint="eastAsia" w:ascii="黑体" w:hAnsi="宋体"/>
          <w:kern w:val="3"/>
          <w:sz w:val="28"/>
          <w:szCs w:val="28"/>
        </w:rPr>
        <w:t>5.2.1 火灾爆炸致因及危害分析</w:t>
      </w:r>
      <w:bookmarkEnd w:id="380"/>
      <w:bookmarkEnd w:id="381"/>
    </w:p>
    <w:p w14:paraId="5AAA87A4">
      <w:pPr>
        <w:spacing w:line="500" w:lineRule="exact"/>
        <w:ind w:firstLine="560"/>
        <w:rPr>
          <w:rFonts w:ascii="宋体" w:hAnsi="宋体"/>
        </w:rPr>
      </w:pPr>
      <w:r>
        <w:rPr>
          <w:rFonts w:hint="eastAsia" w:ascii="宋体" w:hAnsi="宋体"/>
          <w:sz w:val="28"/>
        </w:rPr>
        <w:t>分析火灾爆炸，一是分析形成爆炸性气体混合物的过程；二是分析点火源的产生途径；三是分析火灾爆炸的危害；四是火灾爆炸存在的部位。</w:t>
      </w:r>
    </w:p>
    <w:p w14:paraId="4D8E5FBE">
      <w:pPr>
        <w:adjustRightInd w:val="0"/>
        <w:snapToGrid w:val="0"/>
        <w:spacing w:line="500" w:lineRule="exact"/>
        <w:ind w:firstLine="560" w:firstLineChars="200"/>
        <w:rPr>
          <w:rFonts w:ascii="宋体" w:hAnsi="宋体"/>
          <w:sz w:val="28"/>
          <w:szCs w:val="28"/>
        </w:rPr>
      </w:pPr>
      <w:bookmarkStart w:id="382" w:name="_Toc433992415"/>
      <w:bookmarkStart w:id="383" w:name="_Toc489629086"/>
      <w:bookmarkStart w:id="384" w:name="_Toc424306065"/>
      <w:bookmarkStart w:id="385" w:name="_Toc438040968"/>
      <w:bookmarkStart w:id="386" w:name="_Toc424306316"/>
      <w:bookmarkStart w:id="387" w:name="_Toc420403927"/>
      <w:r>
        <w:rPr>
          <w:rFonts w:hint="eastAsia" w:ascii="宋体" w:hAnsi="宋体"/>
          <w:sz w:val="28"/>
          <w:szCs w:val="28"/>
        </w:rPr>
        <w:t>一.爆炸性气体混合物的形成分析</w:t>
      </w:r>
      <w:bookmarkEnd w:id="382"/>
      <w:bookmarkEnd w:id="383"/>
      <w:bookmarkEnd w:id="384"/>
      <w:bookmarkEnd w:id="385"/>
      <w:bookmarkEnd w:id="386"/>
      <w:bookmarkEnd w:id="387"/>
    </w:p>
    <w:p w14:paraId="2E8CF52E">
      <w:pPr>
        <w:spacing w:line="500" w:lineRule="exact"/>
        <w:ind w:firstLine="560" w:firstLineChars="200"/>
        <w:rPr>
          <w:rFonts w:ascii="宋体" w:hAnsi="宋体"/>
          <w:sz w:val="28"/>
        </w:rPr>
      </w:pPr>
      <w:r>
        <w:rPr>
          <w:rFonts w:hint="eastAsia" w:ascii="宋体" w:hAnsi="宋体"/>
          <w:sz w:val="28"/>
          <w:szCs w:val="28"/>
        </w:rPr>
        <w:t>1.</w:t>
      </w:r>
      <w:r>
        <w:rPr>
          <w:rFonts w:hint="eastAsia" w:ascii="宋体" w:hAnsi="宋体"/>
          <w:sz w:val="28"/>
        </w:rPr>
        <w:t>卸油作业罐内形成爆炸性气体混合物</w:t>
      </w:r>
    </w:p>
    <w:p w14:paraId="06C1F183">
      <w:pPr>
        <w:spacing w:line="500" w:lineRule="exact"/>
        <w:ind w:firstLine="560"/>
        <w:rPr>
          <w:rFonts w:ascii="宋体" w:hAnsi="宋体"/>
          <w:sz w:val="28"/>
        </w:rPr>
      </w:pPr>
      <w:r>
        <w:rPr>
          <w:rFonts w:hint="eastAsia" w:ascii="宋体" w:hAnsi="宋体"/>
          <w:sz w:val="28"/>
        </w:rPr>
        <w:t>当空罐灌装油品时，随着油品的不断加入，油蒸汽在罐内与空气混合的浓度，将不断增加，在灌装作业的某一时刻，油蒸气</w:t>
      </w:r>
      <w:r>
        <w:rPr>
          <w:rFonts w:ascii="宋体" w:hAnsi="宋体"/>
          <w:sz w:val="28"/>
        </w:rPr>
        <w:t>—</w:t>
      </w:r>
      <w:r>
        <w:rPr>
          <w:rFonts w:hint="eastAsia" w:ascii="宋体" w:hAnsi="宋体"/>
          <w:sz w:val="28"/>
        </w:rPr>
        <w:t>空气混合浓度就回上升到爆炸极限。</w:t>
      </w:r>
    </w:p>
    <w:p w14:paraId="471648BE">
      <w:pPr>
        <w:spacing w:line="500" w:lineRule="exact"/>
        <w:ind w:firstLine="560"/>
        <w:rPr>
          <w:rFonts w:ascii="宋体" w:hAnsi="宋体"/>
          <w:sz w:val="28"/>
        </w:rPr>
      </w:pPr>
      <w:r>
        <w:rPr>
          <w:rFonts w:hint="eastAsia" w:ascii="宋体" w:hAnsi="宋体"/>
          <w:sz w:val="28"/>
        </w:rPr>
        <w:t>当汽车油罐卸出油品时，罐内液体上方的气相空间扩大，罐内压力减小，从而吸入空气，与罐内油蒸汽形成爆炸性气体混合物。</w:t>
      </w:r>
    </w:p>
    <w:p w14:paraId="614FAC82">
      <w:pPr>
        <w:spacing w:line="500" w:lineRule="exact"/>
        <w:ind w:firstLine="560"/>
        <w:rPr>
          <w:rFonts w:ascii="宋体" w:hAnsi="宋体"/>
          <w:sz w:val="28"/>
        </w:rPr>
      </w:pPr>
      <w:r>
        <w:rPr>
          <w:rFonts w:hint="eastAsia" w:ascii="宋体" w:hAnsi="宋体"/>
          <w:sz w:val="28"/>
        </w:rPr>
        <w:t>当装低闪点油品油的油罐改装高闪点油品油时，由于高闪点油品油灌入残存有低闪点油品油蒸汽的罐内，油蒸气会被高闪点油品油吸收，引起罐内压力下降，从而吸入大量空气，可在油面和空气入口之间形成油蒸汽</w:t>
      </w:r>
      <w:r>
        <w:rPr>
          <w:rFonts w:ascii="宋体" w:hAnsi="宋体"/>
          <w:sz w:val="28"/>
        </w:rPr>
        <w:t>—</w:t>
      </w:r>
      <w:r>
        <w:rPr>
          <w:rFonts w:hint="eastAsia" w:ascii="宋体" w:hAnsi="宋体"/>
          <w:sz w:val="28"/>
        </w:rPr>
        <w:t>空气爆炸性气体混合物。</w:t>
      </w:r>
    </w:p>
    <w:p w14:paraId="596D48A4">
      <w:pPr>
        <w:spacing w:line="500" w:lineRule="exact"/>
        <w:ind w:firstLine="560" w:firstLineChars="200"/>
        <w:rPr>
          <w:rFonts w:ascii="宋体" w:hAnsi="宋体"/>
          <w:sz w:val="28"/>
        </w:rPr>
      </w:pPr>
      <w:r>
        <w:rPr>
          <w:rFonts w:hint="eastAsia" w:ascii="宋体" w:hAnsi="宋体"/>
          <w:sz w:val="28"/>
          <w:szCs w:val="28"/>
        </w:rPr>
        <w:t>2.</w:t>
      </w:r>
      <w:r>
        <w:rPr>
          <w:rFonts w:hint="eastAsia" w:ascii="宋体" w:hAnsi="宋体"/>
          <w:sz w:val="28"/>
        </w:rPr>
        <w:t>卸油作业罐外形成爆炸性气体混合物</w:t>
      </w:r>
    </w:p>
    <w:p w14:paraId="0CA8D08D">
      <w:pPr>
        <w:spacing w:line="500" w:lineRule="exact"/>
        <w:ind w:firstLine="560"/>
        <w:rPr>
          <w:rFonts w:ascii="宋体" w:hAnsi="宋体"/>
          <w:sz w:val="28"/>
        </w:rPr>
      </w:pPr>
      <w:r>
        <w:rPr>
          <w:rFonts w:hint="eastAsia" w:ascii="宋体" w:hAnsi="宋体"/>
          <w:sz w:val="28"/>
        </w:rPr>
        <w:t>在汽车油罐车、储罐的装卸过程中，罐口、量油孔经常是敞开的，每向油罐卸</w:t>
      </w:r>
      <w:r>
        <w:rPr>
          <w:rFonts w:ascii="宋体" w:hAnsi="宋体"/>
          <w:sz w:val="28"/>
        </w:rPr>
        <w:t>1</w:t>
      </w:r>
      <w:r>
        <w:rPr>
          <w:rFonts w:hint="eastAsia" w:ascii="宋体" w:hAnsi="宋体"/>
          <w:sz w:val="28"/>
        </w:rPr>
        <w:t>立方油，就至少有</w:t>
      </w:r>
      <w:r>
        <w:rPr>
          <w:rFonts w:ascii="宋体" w:hAnsi="宋体"/>
          <w:sz w:val="28"/>
        </w:rPr>
        <w:t>1</w:t>
      </w:r>
      <w:r>
        <w:rPr>
          <w:rFonts w:hint="eastAsia" w:ascii="宋体" w:hAnsi="宋体"/>
          <w:sz w:val="28"/>
        </w:rPr>
        <w:t>立方油蒸汽从油罐进口、量油孔和放散管等处逸出，向四周扩散，在其扩散范围内与空气形成爆炸性气体混合物。</w:t>
      </w:r>
    </w:p>
    <w:p w14:paraId="7307037B">
      <w:pPr>
        <w:spacing w:line="500" w:lineRule="exact"/>
        <w:ind w:firstLine="560"/>
        <w:rPr>
          <w:rFonts w:ascii="宋体" w:hAnsi="宋体"/>
          <w:sz w:val="28"/>
        </w:rPr>
      </w:pPr>
      <w:r>
        <w:rPr>
          <w:rFonts w:hint="eastAsia" w:ascii="宋体" w:hAnsi="宋体"/>
          <w:sz w:val="28"/>
        </w:rPr>
        <w:t>3.加油作业形成爆炸性气体混合物</w:t>
      </w:r>
    </w:p>
    <w:p w14:paraId="74185F38">
      <w:pPr>
        <w:spacing w:line="500" w:lineRule="exact"/>
        <w:ind w:firstLine="560"/>
        <w:rPr>
          <w:rFonts w:ascii="宋体" w:hAnsi="宋体"/>
          <w:sz w:val="28"/>
        </w:rPr>
      </w:pPr>
      <w:r>
        <w:rPr>
          <w:rFonts w:hint="eastAsia" w:ascii="宋体" w:hAnsi="宋体"/>
          <w:sz w:val="28"/>
        </w:rPr>
        <w:t>加油时，大量油蒸汽外逸，在加油机壳体内部、加油机附近都可能形成爆炸性气体混合物。油蒸汽相对密度比空气大，易沉积在底洼处，形成爆炸性气体混合物。</w:t>
      </w:r>
    </w:p>
    <w:p w14:paraId="78FCCD91">
      <w:pPr>
        <w:spacing w:line="500" w:lineRule="exact"/>
        <w:ind w:firstLine="560"/>
        <w:rPr>
          <w:rFonts w:ascii="宋体" w:hAnsi="宋体"/>
          <w:sz w:val="28"/>
        </w:rPr>
      </w:pPr>
      <w:r>
        <w:rPr>
          <w:rFonts w:hint="eastAsia" w:ascii="宋体" w:hAnsi="宋体"/>
          <w:sz w:val="28"/>
        </w:rPr>
        <w:t>4.加油时，油品漫溢流淌</w:t>
      </w:r>
    </w:p>
    <w:p w14:paraId="5F480011">
      <w:pPr>
        <w:spacing w:line="500" w:lineRule="exact"/>
        <w:ind w:firstLine="560"/>
        <w:rPr>
          <w:rFonts w:ascii="宋体" w:hAnsi="宋体"/>
          <w:sz w:val="28"/>
        </w:rPr>
      </w:pPr>
      <w:r>
        <w:rPr>
          <w:rFonts w:hint="eastAsia" w:ascii="宋体" w:hAnsi="宋体"/>
          <w:sz w:val="28"/>
        </w:rPr>
        <w:t>加油时，对油位监测不及时，造成油品跑、冒；油管脱开、破损，造成油品喷溅流淌。油品漫溢流淌、喷溅后，遇火花会立即燃烧；蒸发后周围空气中油蒸汽浓度迅速上升，形成爆炸性气体混合物。</w:t>
      </w:r>
    </w:p>
    <w:p w14:paraId="5B9A45E3">
      <w:pPr>
        <w:spacing w:line="500" w:lineRule="exact"/>
        <w:ind w:firstLine="560"/>
        <w:rPr>
          <w:rFonts w:ascii="宋体" w:hAnsi="宋体"/>
          <w:sz w:val="28"/>
        </w:rPr>
      </w:pPr>
      <w:r>
        <w:rPr>
          <w:rFonts w:hint="eastAsia" w:ascii="宋体" w:hAnsi="宋体"/>
          <w:sz w:val="28"/>
        </w:rPr>
        <w:t>5.卸油、加油时油品泄漏、滴漏形成爆炸性气体混合物</w:t>
      </w:r>
      <w:r>
        <w:rPr>
          <w:rFonts w:ascii="宋体" w:hAnsi="宋体"/>
          <w:sz w:val="28"/>
        </w:rPr>
        <w:tab/>
      </w:r>
    </w:p>
    <w:p w14:paraId="1FB6898B">
      <w:pPr>
        <w:spacing w:line="500" w:lineRule="exact"/>
        <w:ind w:firstLine="560"/>
        <w:rPr>
          <w:rFonts w:ascii="宋体" w:hAnsi="宋体"/>
          <w:sz w:val="28"/>
        </w:rPr>
      </w:pPr>
      <w:r>
        <w:rPr>
          <w:rFonts w:hint="eastAsia" w:ascii="宋体" w:hAnsi="宋体"/>
          <w:sz w:val="28"/>
        </w:rPr>
        <w:t>灌装过量冒顶、油管破裂、密封垫破损、接头紧固栓松动等原因，造成油品泄漏、滴漏至地面，遇火花会立即燃烧，蒸发后与空气形成爆炸性气体混合物。</w:t>
      </w:r>
    </w:p>
    <w:p w14:paraId="782926BD">
      <w:pPr>
        <w:spacing w:line="500" w:lineRule="exact"/>
        <w:ind w:firstLine="560"/>
        <w:rPr>
          <w:rFonts w:ascii="宋体" w:hAnsi="宋体"/>
          <w:sz w:val="28"/>
        </w:rPr>
      </w:pPr>
      <w:r>
        <w:rPr>
          <w:rFonts w:hint="eastAsia" w:ascii="宋体" w:hAnsi="宋体"/>
          <w:sz w:val="28"/>
        </w:rPr>
        <w:t>6.检修作业形成爆炸性气体混合物</w:t>
      </w:r>
    </w:p>
    <w:p w14:paraId="5C9F3A88">
      <w:pPr>
        <w:spacing w:line="500" w:lineRule="exact"/>
        <w:ind w:firstLine="560"/>
        <w:rPr>
          <w:rFonts w:ascii="宋体" w:hAnsi="宋体"/>
          <w:sz w:val="28"/>
        </w:rPr>
      </w:pPr>
      <w:r>
        <w:rPr>
          <w:rFonts w:hint="eastAsia" w:ascii="宋体" w:hAnsi="宋体"/>
          <w:sz w:val="28"/>
        </w:rPr>
        <w:t>检修设备，尤其是拆机泵、油气分离器及管道等油品经过的设备，易造成油品流出，遇火花会立即燃烧，蒸发后与空气形成爆炸性气体混合物。</w:t>
      </w:r>
    </w:p>
    <w:p w14:paraId="23A00BAA">
      <w:pPr>
        <w:adjustRightInd w:val="0"/>
        <w:snapToGrid w:val="0"/>
        <w:spacing w:line="500" w:lineRule="exact"/>
        <w:ind w:firstLine="560" w:firstLineChars="200"/>
        <w:rPr>
          <w:rFonts w:ascii="宋体" w:hAnsi="宋体"/>
          <w:sz w:val="28"/>
          <w:szCs w:val="28"/>
        </w:rPr>
      </w:pPr>
      <w:bookmarkStart w:id="388" w:name="_Toc420403928"/>
      <w:bookmarkStart w:id="389" w:name="_Toc438040969"/>
      <w:bookmarkStart w:id="390" w:name="_Toc424306317"/>
      <w:bookmarkStart w:id="391" w:name="_Toc489629087"/>
      <w:bookmarkStart w:id="392" w:name="_Toc424306066"/>
      <w:bookmarkStart w:id="393" w:name="_Toc433992416"/>
      <w:r>
        <w:rPr>
          <w:rFonts w:hint="eastAsia" w:ascii="宋体" w:hAnsi="宋体"/>
          <w:sz w:val="28"/>
          <w:szCs w:val="28"/>
        </w:rPr>
        <w:t>二.点火源分析</w:t>
      </w:r>
      <w:bookmarkEnd w:id="388"/>
      <w:bookmarkEnd w:id="389"/>
      <w:bookmarkEnd w:id="390"/>
      <w:bookmarkEnd w:id="391"/>
      <w:bookmarkEnd w:id="392"/>
      <w:bookmarkEnd w:id="393"/>
    </w:p>
    <w:p w14:paraId="71EF14D5">
      <w:pPr>
        <w:spacing w:line="500" w:lineRule="exact"/>
        <w:ind w:firstLine="560"/>
        <w:rPr>
          <w:rFonts w:ascii="宋体" w:hAnsi="宋体"/>
          <w:sz w:val="28"/>
        </w:rPr>
      </w:pPr>
      <w:r>
        <w:rPr>
          <w:rFonts w:hint="eastAsia" w:ascii="宋体" w:hAnsi="宋体"/>
          <w:sz w:val="28"/>
        </w:rPr>
        <w:t>明火源：指敞开的火焰、火花、火星等，明火源是引起火灾爆炸事故的主要原因。明火源的产生途径主要有：</w:t>
      </w:r>
    </w:p>
    <w:p w14:paraId="7B3153BA">
      <w:pPr>
        <w:adjustRightInd w:val="0"/>
        <w:snapToGrid w:val="0"/>
        <w:spacing w:line="500" w:lineRule="exact"/>
        <w:ind w:firstLine="560" w:firstLineChars="200"/>
        <w:rPr>
          <w:rFonts w:ascii="宋体" w:hAnsi="宋体"/>
          <w:sz w:val="28"/>
          <w:szCs w:val="28"/>
        </w:rPr>
      </w:pPr>
      <w:r>
        <w:rPr>
          <w:rFonts w:hint="eastAsia" w:ascii="宋体" w:hAnsi="宋体"/>
          <w:sz w:val="28"/>
          <w:szCs w:val="28"/>
        </w:rPr>
        <w:t>1.焊接、切割动火作业</w:t>
      </w:r>
    </w:p>
    <w:p w14:paraId="5E9F3DE1">
      <w:pPr>
        <w:spacing w:line="500" w:lineRule="exact"/>
        <w:ind w:firstLine="560"/>
        <w:rPr>
          <w:rFonts w:ascii="宋体" w:hAnsi="宋体"/>
          <w:sz w:val="28"/>
        </w:rPr>
      </w:pPr>
      <w:r>
        <w:rPr>
          <w:rFonts w:hint="eastAsia" w:ascii="宋体" w:hAnsi="宋体"/>
          <w:sz w:val="28"/>
        </w:rPr>
        <w:t>焊接、切割动火作业是各油罐和设备设施检修过程中常见的作业方式，若违章动火或防护措施不当，易引发火灾爆炸事故。</w:t>
      </w:r>
    </w:p>
    <w:p w14:paraId="6AAC1DC8">
      <w:pPr>
        <w:adjustRightInd w:val="0"/>
        <w:snapToGrid w:val="0"/>
        <w:spacing w:line="500" w:lineRule="exact"/>
        <w:ind w:firstLine="560" w:firstLineChars="200"/>
        <w:rPr>
          <w:rFonts w:ascii="宋体" w:hAnsi="宋体"/>
          <w:sz w:val="28"/>
          <w:szCs w:val="28"/>
        </w:rPr>
      </w:pPr>
      <w:r>
        <w:rPr>
          <w:rFonts w:hint="eastAsia" w:ascii="宋体" w:hAnsi="宋体"/>
          <w:sz w:val="28"/>
          <w:szCs w:val="28"/>
        </w:rPr>
        <w:t>2.作业现场吸烟和打手机</w:t>
      </w:r>
    </w:p>
    <w:p w14:paraId="0A444AA7">
      <w:pPr>
        <w:spacing w:line="500" w:lineRule="exact"/>
        <w:ind w:firstLine="560"/>
        <w:rPr>
          <w:rFonts w:ascii="宋体" w:hAnsi="宋体"/>
          <w:sz w:val="28"/>
        </w:rPr>
      </w:pPr>
      <w:r>
        <w:rPr>
          <w:rFonts w:hint="eastAsia" w:ascii="宋体" w:hAnsi="宋体"/>
          <w:sz w:val="28"/>
        </w:rPr>
        <w:t>经营储存场所是火灾爆炸危险区域，在这些区域吸烟、打手机或穿非纯棉的衣服是非常危险的。少数现场操作人员，尤其是部分外来人员，由于安全意识较差，在以上区域吸烟或打手机有可能引起火灾爆炸事故。</w:t>
      </w:r>
    </w:p>
    <w:p w14:paraId="0A4DEF3D">
      <w:pPr>
        <w:adjustRightInd w:val="0"/>
        <w:snapToGrid w:val="0"/>
        <w:spacing w:line="500" w:lineRule="exact"/>
        <w:ind w:firstLine="560" w:firstLineChars="200"/>
        <w:rPr>
          <w:rFonts w:ascii="宋体" w:hAnsi="宋体"/>
          <w:sz w:val="28"/>
          <w:szCs w:val="28"/>
        </w:rPr>
      </w:pPr>
      <w:r>
        <w:rPr>
          <w:rFonts w:hint="eastAsia" w:ascii="宋体" w:hAnsi="宋体"/>
          <w:sz w:val="28"/>
          <w:szCs w:val="28"/>
        </w:rPr>
        <w:t>3.机动车辆排烟喷火</w:t>
      </w:r>
    </w:p>
    <w:p w14:paraId="7DE415F9">
      <w:pPr>
        <w:spacing w:line="500" w:lineRule="exact"/>
        <w:ind w:firstLine="560"/>
        <w:rPr>
          <w:rFonts w:ascii="宋体" w:hAnsi="宋体"/>
          <w:sz w:val="28"/>
        </w:rPr>
      </w:pPr>
      <w:r>
        <w:rPr>
          <w:rFonts w:hint="eastAsia" w:ascii="宋体" w:hAnsi="宋体"/>
          <w:sz w:val="28"/>
        </w:rPr>
        <w:t>未加装阻火器的机动车辆排除的尾气中可能夹带有火星、火焰，这种火星、火焰有可能引起泄漏的汽油燃烧或爆炸。</w:t>
      </w:r>
    </w:p>
    <w:p w14:paraId="7B9B3001">
      <w:pPr>
        <w:adjustRightInd w:val="0"/>
        <w:snapToGrid w:val="0"/>
        <w:spacing w:line="500" w:lineRule="exact"/>
        <w:ind w:firstLine="560" w:firstLineChars="200"/>
        <w:rPr>
          <w:rFonts w:ascii="宋体" w:hAnsi="宋体"/>
          <w:sz w:val="28"/>
          <w:szCs w:val="28"/>
        </w:rPr>
      </w:pPr>
      <w:r>
        <w:rPr>
          <w:rFonts w:hint="eastAsia" w:ascii="宋体" w:hAnsi="宋体"/>
          <w:sz w:val="28"/>
          <w:szCs w:val="28"/>
        </w:rPr>
        <w:t>4.摩擦和撞击</w:t>
      </w:r>
    </w:p>
    <w:p w14:paraId="3A614C07">
      <w:pPr>
        <w:spacing w:line="500" w:lineRule="exact"/>
        <w:ind w:firstLine="560"/>
        <w:rPr>
          <w:rFonts w:ascii="宋体" w:hAnsi="宋体"/>
          <w:sz w:val="28"/>
        </w:rPr>
      </w:pPr>
      <w:r>
        <w:rPr>
          <w:rFonts w:hint="eastAsia" w:ascii="宋体" w:hAnsi="宋体"/>
          <w:sz w:val="28"/>
        </w:rPr>
        <w:t>当两个表面粗糙的坚硬物体互相猛烈撞击和剧烈磨擦时，会产生火花，这种火花可认为是撞击或磨擦下来的高温固体微粒。据测试，若火星的微m是</w:t>
      </w:r>
      <w:r>
        <w:rPr>
          <w:rFonts w:ascii="宋体" w:hAnsi="宋体"/>
          <w:sz w:val="28"/>
        </w:rPr>
        <w:t>0.1mm</w:t>
      </w:r>
      <w:r>
        <w:rPr>
          <w:rFonts w:hint="eastAsia" w:ascii="宋体" w:hAnsi="宋体"/>
          <w:sz w:val="28"/>
        </w:rPr>
        <w:t>和</w:t>
      </w:r>
      <w:r>
        <w:rPr>
          <w:rFonts w:ascii="宋体" w:hAnsi="宋体"/>
          <w:sz w:val="28"/>
        </w:rPr>
        <w:t>1mm</w:t>
      </w:r>
      <w:r>
        <w:rPr>
          <w:rFonts w:hint="eastAsia" w:ascii="宋体" w:hAnsi="宋体"/>
          <w:sz w:val="28"/>
        </w:rPr>
        <w:t>的直径，则它们所带的热能分别为</w:t>
      </w:r>
      <w:r>
        <w:rPr>
          <w:rFonts w:ascii="宋体" w:hAnsi="宋体"/>
          <w:sz w:val="28"/>
        </w:rPr>
        <w:t>1.76mJ</w:t>
      </w:r>
      <w:r>
        <w:rPr>
          <w:rFonts w:hint="eastAsia" w:ascii="宋体" w:hAnsi="宋体"/>
          <w:sz w:val="28"/>
        </w:rPr>
        <w:t>和</w:t>
      </w:r>
      <w:r>
        <w:rPr>
          <w:rFonts w:ascii="宋体" w:hAnsi="宋体"/>
          <w:sz w:val="28"/>
        </w:rPr>
        <w:t>176mJ</w:t>
      </w:r>
      <w:r>
        <w:rPr>
          <w:rFonts w:hint="eastAsia" w:ascii="宋体" w:hAnsi="宋体"/>
          <w:sz w:val="28"/>
        </w:rPr>
        <w:t>，超过大多数可燃物质的最小点火能，足以点燃可燃的气体、蒸汽和粉尘。</w:t>
      </w:r>
    </w:p>
    <w:p w14:paraId="065AE322">
      <w:pPr>
        <w:spacing w:line="500" w:lineRule="exact"/>
        <w:ind w:firstLine="560"/>
        <w:rPr>
          <w:rFonts w:ascii="宋体" w:hAnsi="宋体"/>
          <w:sz w:val="28"/>
        </w:rPr>
      </w:pPr>
      <w:r>
        <w:rPr>
          <w:rFonts w:hint="eastAsia" w:ascii="宋体" w:hAnsi="宋体"/>
          <w:sz w:val="28"/>
        </w:rPr>
        <w:t>金属工具、鞋钉等金属物，若在危险场所内与地面、工艺设备、储罐、管道等发生摩擦或撞击，就可能产生火花。</w:t>
      </w:r>
    </w:p>
    <w:p w14:paraId="103A4616">
      <w:pPr>
        <w:adjustRightInd w:val="0"/>
        <w:snapToGrid w:val="0"/>
        <w:spacing w:line="500" w:lineRule="exact"/>
        <w:ind w:firstLine="560" w:firstLineChars="200"/>
        <w:rPr>
          <w:rFonts w:ascii="宋体" w:hAnsi="宋体"/>
          <w:sz w:val="28"/>
          <w:szCs w:val="28"/>
        </w:rPr>
      </w:pPr>
      <w:r>
        <w:rPr>
          <w:rFonts w:hint="eastAsia" w:ascii="宋体" w:hAnsi="宋体"/>
          <w:sz w:val="28"/>
          <w:szCs w:val="28"/>
        </w:rPr>
        <w:t>5.电气火花</w:t>
      </w:r>
    </w:p>
    <w:p w14:paraId="6A925D7A">
      <w:pPr>
        <w:spacing w:line="500" w:lineRule="exact"/>
        <w:ind w:firstLine="560"/>
        <w:rPr>
          <w:rFonts w:ascii="宋体" w:hAnsi="宋体"/>
          <w:sz w:val="28"/>
        </w:rPr>
      </w:pPr>
      <w:r>
        <w:rPr>
          <w:rFonts w:hint="eastAsia" w:ascii="宋体" w:hAnsi="宋体"/>
          <w:sz w:val="28"/>
        </w:rPr>
        <w:t>电气火花是一种电能转变为热能的常见点火源，是导致发生火灾爆炸事故的重要原因之一。</w:t>
      </w:r>
    </w:p>
    <w:p w14:paraId="302C664C">
      <w:pPr>
        <w:spacing w:line="500" w:lineRule="exact"/>
        <w:ind w:firstLine="560"/>
        <w:rPr>
          <w:rFonts w:ascii="宋体" w:hAnsi="宋体"/>
          <w:sz w:val="28"/>
        </w:rPr>
      </w:pPr>
      <w:r>
        <w:rPr>
          <w:rFonts w:hint="eastAsia" w:ascii="宋体" w:hAnsi="宋体"/>
          <w:sz w:val="28"/>
          <w:szCs w:val="28"/>
        </w:rPr>
        <w:t>1）</w:t>
      </w:r>
      <w:r>
        <w:rPr>
          <w:rFonts w:hint="eastAsia" w:ascii="宋体" w:hAnsi="宋体"/>
          <w:sz w:val="28"/>
        </w:rPr>
        <w:t>电气线路和电气设备在启动、停止时产生火花。</w:t>
      </w:r>
    </w:p>
    <w:p w14:paraId="17689CE3">
      <w:pPr>
        <w:spacing w:line="500" w:lineRule="exact"/>
        <w:ind w:firstLine="560"/>
        <w:rPr>
          <w:rFonts w:ascii="宋体" w:hAnsi="宋体"/>
          <w:sz w:val="28"/>
        </w:rPr>
      </w:pPr>
      <w:r>
        <w:rPr>
          <w:rFonts w:hint="eastAsia" w:ascii="宋体" w:hAnsi="宋体"/>
          <w:sz w:val="28"/>
          <w:szCs w:val="28"/>
        </w:rPr>
        <w:t>2）</w:t>
      </w:r>
      <w:r>
        <w:rPr>
          <w:rFonts w:hint="eastAsia" w:ascii="宋体" w:hAnsi="宋体"/>
          <w:sz w:val="28"/>
        </w:rPr>
        <w:t>电气线路发生短路产生火花；导线过负荷运行、温度升高引起绝缘材料及附近可燃物着火。</w:t>
      </w:r>
    </w:p>
    <w:p w14:paraId="6736B799">
      <w:pPr>
        <w:spacing w:line="500" w:lineRule="exact"/>
        <w:ind w:firstLine="560"/>
        <w:rPr>
          <w:rFonts w:ascii="宋体" w:hAnsi="宋体"/>
          <w:sz w:val="28"/>
        </w:rPr>
      </w:pPr>
      <w:r>
        <w:rPr>
          <w:rFonts w:hint="eastAsia" w:ascii="宋体" w:hAnsi="宋体"/>
          <w:sz w:val="28"/>
          <w:szCs w:val="28"/>
        </w:rPr>
        <w:t>3）</w:t>
      </w:r>
      <w:r>
        <w:rPr>
          <w:rFonts w:hint="eastAsia" w:ascii="宋体" w:hAnsi="宋体"/>
          <w:sz w:val="28"/>
        </w:rPr>
        <w:t>电源线接头处、电源线与开关、保护装备、用电设备等连接处接触不良或漏电产生火花；</w:t>
      </w:r>
    </w:p>
    <w:p w14:paraId="7BC55F61">
      <w:pPr>
        <w:spacing w:line="500" w:lineRule="exact"/>
        <w:ind w:firstLine="560"/>
        <w:rPr>
          <w:rFonts w:ascii="宋体" w:hAnsi="宋体"/>
          <w:sz w:val="28"/>
        </w:rPr>
      </w:pPr>
      <w:r>
        <w:rPr>
          <w:rFonts w:hint="eastAsia" w:ascii="宋体" w:hAnsi="宋体"/>
          <w:sz w:val="28"/>
          <w:szCs w:val="28"/>
        </w:rPr>
        <w:t>4）</w:t>
      </w:r>
      <w:r>
        <w:rPr>
          <w:rFonts w:hint="eastAsia" w:ascii="宋体" w:hAnsi="宋体"/>
          <w:sz w:val="28"/>
        </w:rPr>
        <w:t>由于设计、选型工作的失误，部分电气设备选用不当，不能满足防火防爆的要求。</w:t>
      </w:r>
    </w:p>
    <w:p w14:paraId="6DBD795F">
      <w:pPr>
        <w:spacing w:line="500" w:lineRule="exact"/>
        <w:ind w:firstLine="560"/>
        <w:rPr>
          <w:rFonts w:ascii="宋体" w:hAnsi="宋体"/>
          <w:sz w:val="28"/>
        </w:rPr>
      </w:pPr>
      <w:r>
        <w:rPr>
          <w:rFonts w:hint="eastAsia" w:ascii="宋体" w:hAnsi="宋体"/>
          <w:sz w:val="28"/>
          <w:szCs w:val="28"/>
        </w:rPr>
        <w:t>5）</w:t>
      </w:r>
      <w:r>
        <w:rPr>
          <w:rFonts w:hint="eastAsia" w:ascii="宋体" w:hAnsi="宋体"/>
          <w:sz w:val="28"/>
        </w:rPr>
        <w:t>作业人员违章操作、违章用电，以及其它原因，也可能会引起电火花、电气火灾等火源。</w:t>
      </w:r>
    </w:p>
    <w:p w14:paraId="336E61DC">
      <w:pPr>
        <w:adjustRightInd w:val="0"/>
        <w:snapToGrid w:val="0"/>
        <w:spacing w:line="500" w:lineRule="exact"/>
        <w:ind w:firstLine="560" w:firstLineChars="200"/>
        <w:rPr>
          <w:rFonts w:ascii="宋体" w:hAnsi="宋体"/>
          <w:sz w:val="28"/>
          <w:szCs w:val="28"/>
        </w:rPr>
      </w:pPr>
      <w:r>
        <w:rPr>
          <w:rFonts w:hint="eastAsia" w:ascii="宋体" w:hAnsi="宋体"/>
          <w:sz w:val="28"/>
          <w:szCs w:val="28"/>
        </w:rPr>
        <w:t>6.静电放电</w:t>
      </w:r>
    </w:p>
    <w:p w14:paraId="13F1707C">
      <w:pPr>
        <w:spacing w:line="500" w:lineRule="exact"/>
        <w:ind w:firstLine="560"/>
        <w:rPr>
          <w:rFonts w:ascii="宋体" w:hAnsi="宋体"/>
          <w:sz w:val="28"/>
        </w:rPr>
      </w:pPr>
      <w:r>
        <w:rPr>
          <w:rFonts w:hint="eastAsia" w:ascii="宋体" w:hAnsi="宋体"/>
          <w:sz w:val="28"/>
        </w:rPr>
        <w:t>静电放电是导致发生火灾爆炸事故的重要原因之一。当同时满足以下几个条件时，就可能引发燃烧或爆炸：</w:t>
      </w:r>
    </w:p>
    <w:p w14:paraId="04A502D5">
      <w:pPr>
        <w:pStyle w:val="24"/>
        <w:spacing w:line="500" w:lineRule="exact"/>
        <w:ind w:left="-538" w:leftChars="-256" w:firstLine="1120" w:firstLineChars="400"/>
        <w:rPr>
          <w:rFonts w:ascii="宋体" w:hAnsi="宋体"/>
          <w:sz w:val="28"/>
        </w:rPr>
      </w:pPr>
      <w:r>
        <w:rPr>
          <w:rFonts w:hint="eastAsia" w:ascii="宋体" w:hAnsi="宋体"/>
          <w:sz w:val="28"/>
          <w:szCs w:val="28"/>
        </w:rPr>
        <w:t>1）</w:t>
      </w:r>
      <w:r>
        <w:rPr>
          <w:rFonts w:hint="eastAsia" w:ascii="宋体" w:hAnsi="宋体"/>
          <w:sz w:val="28"/>
        </w:rPr>
        <w:t>有能够产生静电的条件；</w:t>
      </w:r>
    </w:p>
    <w:p w14:paraId="6E8BA026">
      <w:pPr>
        <w:pStyle w:val="24"/>
        <w:spacing w:line="500" w:lineRule="exact"/>
        <w:ind w:left="-538" w:leftChars="-256" w:firstLine="1120" w:firstLineChars="400"/>
        <w:rPr>
          <w:rFonts w:ascii="宋体" w:hAnsi="宋体"/>
          <w:sz w:val="28"/>
        </w:rPr>
      </w:pPr>
      <w:r>
        <w:rPr>
          <w:rFonts w:hint="eastAsia" w:ascii="宋体" w:hAnsi="宋体"/>
          <w:sz w:val="28"/>
          <w:szCs w:val="28"/>
        </w:rPr>
        <w:t>2）</w:t>
      </w:r>
      <w:r>
        <w:rPr>
          <w:rFonts w:hint="eastAsia" w:ascii="宋体" w:hAnsi="宋体"/>
          <w:sz w:val="28"/>
        </w:rPr>
        <w:t>有能积累足够的电荷和产生火花放电的条件；</w:t>
      </w:r>
    </w:p>
    <w:p w14:paraId="4B52D00A">
      <w:pPr>
        <w:pStyle w:val="24"/>
        <w:spacing w:line="500" w:lineRule="exact"/>
        <w:ind w:left="-538" w:leftChars="-256" w:firstLine="1120" w:firstLineChars="400"/>
        <w:rPr>
          <w:rFonts w:ascii="宋体" w:hAnsi="宋体"/>
          <w:sz w:val="28"/>
        </w:rPr>
      </w:pPr>
      <w:r>
        <w:rPr>
          <w:rFonts w:hint="eastAsia" w:ascii="宋体" w:hAnsi="宋体"/>
          <w:sz w:val="28"/>
          <w:szCs w:val="28"/>
        </w:rPr>
        <w:t>3）</w:t>
      </w:r>
      <w:r>
        <w:rPr>
          <w:rFonts w:hint="eastAsia" w:ascii="宋体" w:hAnsi="宋体"/>
          <w:sz w:val="28"/>
        </w:rPr>
        <w:t>有能引起火花放电的合适的间隙；</w:t>
      </w:r>
    </w:p>
    <w:p w14:paraId="47CE1A43">
      <w:pPr>
        <w:pStyle w:val="24"/>
        <w:spacing w:line="500" w:lineRule="exact"/>
        <w:ind w:left="-538" w:leftChars="-256" w:firstLine="1120" w:firstLineChars="400"/>
        <w:rPr>
          <w:rFonts w:ascii="宋体" w:hAnsi="宋体"/>
          <w:sz w:val="28"/>
        </w:rPr>
      </w:pPr>
      <w:r>
        <w:rPr>
          <w:rFonts w:hint="eastAsia" w:ascii="宋体" w:hAnsi="宋体"/>
          <w:sz w:val="28"/>
          <w:szCs w:val="28"/>
        </w:rPr>
        <w:t>4）</w:t>
      </w:r>
      <w:r>
        <w:rPr>
          <w:rFonts w:hint="eastAsia" w:ascii="宋体" w:hAnsi="宋体"/>
          <w:sz w:val="28"/>
        </w:rPr>
        <w:t>发生的火花有足够的引燃能量；</w:t>
      </w:r>
    </w:p>
    <w:p w14:paraId="79273C1B">
      <w:pPr>
        <w:spacing w:line="500" w:lineRule="exact"/>
        <w:ind w:firstLine="560" w:firstLineChars="200"/>
        <w:rPr>
          <w:rFonts w:ascii="宋体" w:hAnsi="宋体"/>
          <w:sz w:val="28"/>
        </w:rPr>
      </w:pPr>
      <w:r>
        <w:rPr>
          <w:rFonts w:hint="eastAsia" w:ascii="宋体" w:hAnsi="宋体"/>
          <w:sz w:val="28"/>
          <w:szCs w:val="28"/>
        </w:rPr>
        <w:t>5）</w:t>
      </w:r>
      <w:r>
        <w:rPr>
          <w:rFonts w:hint="eastAsia" w:ascii="宋体" w:hAnsi="宋体"/>
          <w:sz w:val="28"/>
        </w:rPr>
        <w:t>在间隙及周围环境中有可被引燃的可燃物与空气的混合物。</w:t>
      </w:r>
    </w:p>
    <w:p w14:paraId="40325DFC">
      <w:pPr>
        <w:spacing w:line="500" w:lineRule="exact"/>
        <w:rPr>
          <w:rFonts w:ascii="宋体" w:hAnsi="宋体"/>
          <w:sz w:val="28"/>
        </w:rPr>
      </w:pPr>
      <w:r>
        <w:rPr>
          <w:rFonts w:hint="eastAsia" w:ascii="宋体" w:hAnsi="宋体"/>
          <w:sz w:val="28"/>
        </w:rPr>
        <w:t>下列几种情况下易出现静电：</w:t>
      </w:r>
    </w:p>
    <w:p w14:paraId="61135B0B">
      <w:pPr>
        <w:spacing w:line="500" w:lineRule="exact"/>
        <w:ind w:firstLine="560"/>
        <w:rPr>
          <w:rFonts w:ascii="宋体" w:hAnsi="宋体"/>
          <w:sz w:val="28"/>
        </w:rPr>
      </w:pPr>
      <w:r>
        <w:rPr>
          <w:rFonts w:hint="eastAsia" w:ascii="宋体" w:hAnsi="宋体"/>
          <w:sz w:val="28"/>
        </w:rPr>
        <w:t>①油品输送过程中，由于流动、搅动、混合和冲击，易产生静电聚积。若管道和设备的防静电措施不落实或效果不佳，则会产生静电聚积，从而产生较高的静电电位，并可能发生静电放电，产生静电火花，在现场存在爆炸性混合物时，就可能引发火灾爆炸事故；</w:t>
      </w:r>
    </w:p>
    <w:p w14:paraId="576D8757">
      <w:pPr>
        <w:spacing w:line="500" w:lineRule="exact"/>
        <w:ind w:firstLine="560"/>
        <w:rPr>
          <w:rFonts w:ascii="宋体" w:hAnsi="宋体"/>
          <w:sz w:val="28"/>
        </w:rPr>
      </w:pPr>
      <w:r>
        <w:rPr>
          <w:rFonts w:hint="eastAsia" w:ascii="宋体" w:hAnsi="宋体"/>
          <w:sz w:val="28"/>
        </w:rPr>
        <w:t>②由于管道或设备破损，油品急剧喷出，产生静电火花，可能引发火灾爆炸事故；</w:t>
      </w:r>
    </w:p>
    <w:p w14:paraId="14A8E346">
      <w:pPr>
        <w:spacing w:line="500" w:lineRule="exact"/>
        <w:ind w:firstLine="560"/>
        <w:rPr>
          <w:rFonts w:ascii="宋体" w:hAnsi="宋体"/>
          <w:sz w:val="28"/>
        </w:rPr>
      </w:pPr>
      <w:r>
        <w:rPr>
          <w:rFonts w:hint="eastAsia" w:ascii="宋体" w:hAnsi="宋体"/>
          <w:sz w:val="28"/>
        </w:rPr>
        <w:t>③罐区、卸油区、加油区的操作人员，若身着化纤衣物，同时脚穿非绝缘鞋时，由于行走、活动和工作产生摩擦，人体极易带上能引起爆炸、火灾事故的高电位静电（可能高达数千至数万伏）。</w:t>
      </w:r>
    </w:p>
    <w:p w14:paraId="56E134AE">
      <w:pPr>
        <w:spacing w:line="500" w:lineRule="exact"/>
        <w:ind w:firstLine="560"/>
        <w:rPr>
          <w:rFonts w:ascii="宋体" w:hAnsi="宋体"/>
          <w:sz w:val="28"/>
        </w:rPr>
      </w:pPr>
      <w:r>
        <w:rPr>
          <w:rFonts w:hint="eastAsia" w:ascii="宋体" w:hAnsi="宋体"/>
          <w:sz w:val="28"/>
        </w:rPr>
        <w:t>④若采用敞开式卸油易产生静电，从而导致发生火灾、爆炸事故。</w:t>
      </w:r>
    </w:p>
    <w:p w14:paraId="04D6ABD6">
      <w:pPr>
        <w:adjustRightInd w:val="0"/>
        <w:snapToGrid w:val="0"/>
        <w:spacing w:line="500" w:lineRule="exact"/>
        <w:ind w:firstLine="560" w:firstLineChars="200"/>
        <w:rPr>
          <w:rFonts w:ascii="宋体" w:hAnsi="宋体"/>
          <w:sz w:val="28"/>
          <w:szCs w:val="28"/>
        </w:rPr>
      </w:pPr>
      <w:bookmarkStart w:id="394" w:name="_Toc424306067"/>
      <w:bookmarkStart w:id="395" w:name="_Toc420403929"/>
      <w:bookmarkStart w:id="396" w:name="_Toc489629088"/>
      <w:bookmarkStart w:id="397" w:name="_Toc433992417"/>
      <w:bookmarkStart w:id="398" w:name="_Toc424306318"/>
      <w:bookmarkStart w:id="399" w:name="_Toc438040970"/>
      <w:r>
        <w:rPr>
          <w:rFonts w:hint="eastAsia" w:ascii="宋体" w:hAnsi="宋体"/>
          <w:sz w:val="28"/>
          <w:szCs w:val="28"/>
        </w:rPr>
        <w:t>7.雷击及杂散电流</w:t>
      </w:r>
      <w:bookmarkEnd w:id="394"/>
      <w:bookmarkEnd w:id="395"/>
      <w:bookmarkEnd w:id="396"/>
      <w:bookmarkEnd w:id="397"/>
      <w:bookmarkEnd w:id="398"/>
      <w:bookmarkEnd w:id="399"/>
    </w:p>
    <w:p w14:paraId="55C6161C">
      <w:pPr>
        <w:pStyle w:val="24"/>
        <w:spacing w:line="500" w:lineRule="exact"/>
        <w:ind w:left="0" w:leftChars="0" w:firstLine="560" w:firstLineChars="200"/>
        <w:rPr>
          <w:rFonts w:ascii="宋体" w:hAnsi="宋体"/>
          <w:sz w:val="28"/>
          <w:szCs w:val="28"/>
        </w:rPr>
      </w:pPr>
      <w:r>
        <w:rPr>
          <w:rFonts w:hint="eastAsia" w:ascii="宋体" w:hAnsi="宋体"/>
          <w:sz w:val="28"/>
          <w:szCs w:val="28"/>
        </w:rPr>
        <w:t>加油站、加油棚、储罐及建筑物的防雷设施不安全，或因管理疏漏，导致防雷设施的效果降低甚至失去作用，有可能在雷雨天气遭雷击，引发火灾、爆炸事故。雷击还可能引起配电间跳闸，造成所有电气设备停止运转、可燃气体检测报警仪失控以及消防电动泵不能及时启动等后果，从而加大了火灾、爆炸事故扑救的难度。因此雷击也是火灾、爆炸的重要危险因素之一。</w:t>
      </w:r>
    </w:p>
    <w:p w14:paraId="35056858">
      <w:pPr>
        <w:pStyle w:val="24"/>
        <w:spacing w:line="500" w:lineRule="exact"/>
        <w:ind w:left="0" w:leftChars="0" w:firstLine="560" w:firstLineChars="200"/>
        <w:rPr>
          <w:rFonts w:ascii="宋体" w:hAnsi="宋体"/>
          <w:sz w:val="28"/>
          <w:szCs w:val="28"/>
        </w:rPr>
      </w:pPr>
      <w:r>
        <w:rPr>
          <w:rFonts w:hint="eastAsia" w:ascii="宋体" w:hAnsi="宋体"/>
          <w:sz w:val="28"/>
          <w:szCs w:val="28"/>
        </w:rPr>
        <w:t>杂散电流窜入加油区、罐区等危险爆炸场所，也可能成为火灾爆炸事故的点火源。</w:t>
      </w:r>
    </w:p>
    <w:p w14:paraId="11CDAD85">
      <w:pPr>
        <w:adjustRightInd w:val="0"/>
        <w:snapToGrid w:val="0"/>
        <w:spacing w:line="500" w:lineRule="exact"/>
        <w:ind w:firstLine="560" w:firstLineChars="200"/>
        <w:rPr>
          <w:rFonts w:ascii="宋体" w:hAnsi="宋体"/>
          <w:sz w:val="28"/>
          <w:szCs w:val="28"/>
        </w:rPr>
      </w:pPr>
      <w:bookmarkStart w:id="400" w:name="_Toc489629089"/>
      <w:bookmarkStart w:id="401" w:name="_Toc438040971"/>
      <w:bookmarkStart w:id="402" w:name="_Toc424306068"/>
      <w:bookmarkStart w:id="403" w:name="_Toc433992418"/>
      <w:bookmarkStart w:id="404" w:name="_Toc424306319"/>
      <w:bookmarkStart w:id="405" w:name="_Toc420403930"/>
      <w:r>
        <w:rPr>
          <w:rFonts w:hint="eastAsia" w:ascii="宋体" w:hAnsi="宋体"/>
          <w:sz w:val="28"/>
          <w:szCs w:val="28"/>
        </w:rPr>
        <w:t>8.自燃、自爆</w:t>
      </w:r>
      <w:bookmarkEnd w:id="400"/>
      <w:bookmarkEnd w:id="401"/>
      <w:bookmarkEnd w:id="402"/>
      <w:bookmarkEnd w:id="403"/>
      <w:bookmarkEnd w:id="404"/>
      <w:bookmarkEnd w:id="405"/>
    </w:p>
    <w:p w14:paraId="6B87115B">
      <w:pPr>
        <w:pStyle w:val="24"/>
        <w:spacing w:line="500" w:lineRule="exact"/>
        <w:ind w:left="0" w:leftChars="0" w:firstLine="560"/>
        <w:rPr>
          <w:rFonts w:ascii="宋体" w:hAnsi="宋体"/>
          <w:sz w:val="28"/>
        </w:rPr>
      </w:pPr>
      <w:r>
        <w:rPr>
          <w:rFonts w:hint="eastAsia" w:ascii="宋体" w:hAnsi="宋体"/>
          <w:sz w:val="28"/>
        </w:rPr>
        <w:t>另外，易燃液体储罐如果接受持续性的日光曝晒，或邻近燃烧火焰的烘烤，或输入的易燃液体温度过高等，都易引起热膨胀，从而导致储罐爆炸事故。</w:t>
      </w:r>
    </w:p>
    <w:p w14:paraId="75064A92">
      <w:pPr>
        <w:adjustRightInd w:val="0"/>
        <w:snapToGrid w:val="0"/>
        <w:spacing w:line="500" w:lineRule="exact"/>
        <w:ind w:firstLine="560" w:firstLineChars="200"/>
        <w:rPr>
          <w:rFonts w:ascii="宋体" w:hAnsi="宋体"/>
          <w:sz w:val="28"/>
          <w:szCs w:val="28"/>
        </w:rPr>
      </w:pPr>
      <w:bookmarkStart w:id="406" w:name="_Toc433992419"/>
      <w:bookmarkStart w:id="407" w:name="_Toc420403931"/>
      <w:bookmarkStart w:id="408" w:name="_Toc438040972"/>
      <w:bookmarkStart w:id="409" w:name="_Toc489629090"/>
      <w:bookmarkStart w:id="410" w:name="_Toc424306320"/>
      <w:bookmarkStart w:id="411" w:name="_Toc424306069"/>
      <w:r>
        <w:rPr>
          <w:rFonts w:hint="eastAsia" w:ascii="宋体" w:hAnsi="宋体"/>
          <w:sz w:val="28"/>
          <w:szCs w:val="28"/>
        </w:rPr>
        <w:t>三、燃烧、爆炸事故危害分析</w:t>
      </w:r>
      <w:bookmarkEnd w:id="406"/>
      <w:bookmarkEnd w:id="407"/>
      <w:bookmarkEnd w:id="408"/>
      <w:bookmarkEnd w:id="409"/>
      <w:bookmarkEnd w:id="410"/>
      <w:bookmarkEnd w:id="411"/>
    </w:p>
    <w:p w14:paraId="2141A9DA">
      <w:pPr>
        <w:pStyle w:val="24"/>
        <w:spacing w:line="500" w:lineRule="exact"/>
        <w:ind w:left="0" w:leftChars="0" w:firstLine="560"/>
        <w:rPr>
          <w:rFonts w:ascii="宋体" w:hAnsi="宋体"/>
          <w:sz w:val="28"/>
        </w:rPr>
      </w:pPr>
      <w:r>
        <w:rPr>
          <w:rFonts w:hint="eastAsia" w:ascii="宋体" w:hAnsi="宋体"/>
          <w:sz w:val="28"/>
        </w:rPr>
        <w:t>加油站燃烧和爆炸往往是交替或同时进行，燃烧、爆炸通常伴随发热、发光、压力上升和辐射等现象，具有很强的破坏作用。</w:t>
      </w:r>
    </w:p>
    <w:p w14:paraId="1ECC8741">
      <w:pPr>
        <w:spacing w:line="500" w:lineRule="exact"/>
        <w:ind w:left="540"/>
        <w:rPr>
          <w:rFonts w:ascii="宋体" w:hAnsi="宋体"/>
          <w:sz w:val="28"/>
        </w:rPr>
      </w:pPr>
      <w:r>
        <w:rPr>
          <w:rFonts w:hint="eastAsia" w:ascii="宋体" w:hAnsi="宋体"/>
          <w:sz w:val="28"/>
        </w:rPr>
        <w:t>1.先爆炸，后引起燃烧</w:t>
      </w:r>
    </w:p>
    <w:p w14:paraId="48CD1C2C">
      <w:pPr>
        <w:pStyle w:val="24"/>
        <w:spacing w:line="500" w:lineRule="exact"/>
        <w:ind w:left="0" w:leftChars="0" w:firstLine="442"/>
        <w:rPr>
          <w:rFonts w:ascii="宋体" w:hAnsi="宋体"/>
          <w:sz w:val="28"/>
        </w:rPr>
      </w:pPr>
      <w:r>
        <w:rPr>
          <w:rFonts w:hint="eastAsia" w:ascii="宋体" w:hAnsi="宋体"/>
          <w:sz w:val="28"/>
        </w:rPr>
        <w:t>当空气中的油蒸汽达到爆炸极限时，与火源接触先爆炸，爆炸产生的高温、火焰引起油品和易燃物燃烧。</w:t>
      </w:r>
    </w:p>
    <w:p w14:paraId="422EFE77">
      <w:pPr>
        <w:spacing w:line="500" w:lineRule="exact"/>
        <w:ind w:left="540"/>
        <w:rPr>
          <w:rFonts w:ascii="宋体" w:hAnsi="宋体"/>
          <w:sz w:val="28"/>
        </w:rPr>
      </w:pPr>
      <w:r>
        <w:rPr>
          <w:rFonts w:hint="eastAsia" w:ascii="宋体" w:hAnsi="宋体"/>
          <w:sz w:val="28"/>
        </w:rPr>
        <w:t>2.先燃烧，后引起爆炸</w:t>
      </w:r>
    </w:p>
    <w:p w14:paraId="7E484EE1">
      <w:pPr>
        <w:spacing w:line="500" w:lineRule="exact"/>
        <w:ind w:firstLine="560"/>
        <w:rPr>
          <w:rFonts w:ascii="宋体" w:hAnsi="宋体"/>
          <w:sz w:val="28"/>
        </w:rPr>
      </w:pPr>
      <w:r>
        <w:rPr>
          <w:rFonts w:hint="eastAsia" w:ascii="宋体" w:hAnsi="宋体"/>
          <w:sz w:val="28"/>
        </w:rPr>
        <w:t>先发生燃烧，在火场的热辐射作有下，邻近的储、盛油容器内油蒸汽不断挥发、扩散，与空气混合形成爆炸性气体，在爆炸极限浓度范围内，遇火场火焰、火星发生爆炸。</w:t>
      </w:r>
    </w:p>
    <w:p w14:paraId="4ABF63C7">
      <w:pPr>
        <w:spacing w:line="500" w:lineRule="exact"/>
        <w:ind w:left="540"/>
        <w:rPr>
          <w:rFonts w:ascii="宋体" w:hAnsi="宋体"/>
          <w:sz w:val="28"/>
        </w:rPr>
      </w:pPr>
      <w:r>
        <w:rPr>
          <w:rFonts w:hint="eastAsia" w:ascii="宋体" w:hAnsi="宋体"/>
          <w:sz w:val="28"/>
        </w:rPr>
        <w:t>1）储油容器爆炸危险</w:t>
      </w:r>
    </w:p>
    <w:p w14:paraId="37AD9703">
      <w:pPr>
        <w:spacing w:line="500" w:lineRule="exact"/>
        <w:ind w:firstLine="560" w:firstLineChars="200"/>
        <w:rPr>
          <w:rFonts w:ascii="宋体" w:hAnsi="宋体"/>
          <w:sz w:val="28"/>
        </w:rPr>
      </w:pPr>
      <w:r>
        <w:rPr>
          <w:rFonts w:hint="eastAsia" w:ascii="宋体" w:hAnsi="宋体"/>
          <w:sz w:val="28"/>
        </w:rPr>
        <w:t>储油容器在火焰或高温的作用下，容器内油蒸汽压力急剧上升，在超过容器所能承受的极限压力时，储油容器可能发生物理性爆炸。</w:t>
      </w:r>
    </w:p>
    <w:p w14:paraId="448F58CE">
      <w:pPr>
        <w:spacing w:line="500" w:lineRule="exact"/>
        <w:ind w:firstLine="560" w:firstLineChars="200"/>
        <w:rPr>
          <w:rFonts w:ascii="宋体" w:hAnsi="宋体"/>
          <w:sz w:val="28"/>
        </w:rPr>
      </w:pPr>
      <w:r>
        <w:rPr>
          <w:rFonts w:hint="eastAsia" w:ascii="宋体" w:hAnsi="宋体"/>
          <w:sz w:val="28"/>
        </w:rPr>
        <w:t>2）爆炸产生的碎片，飞出后会在相当大的范围内对人和物造成危害。</w:t>
      </w:r>
    </w:p>
    <w:p w14:paraId="238BE136">
      <w:pPr>
        <w:spacing w:line="500" w:lineRule="exact"/>
        <w:ind w:firstLine="560" w:firstLineChars="200"/>
        <w:rPr>
          <w:rFonts w:ascii="宋体" w:hAnsi="宋体"/>
          <w:sz w:val="28"/>
        </w:rPr>
      </w:pPr>
      <w:r>
        <w:rPr>
          <w:rFonts w:hint="eastAsia" w:ascii="宋体" w:hAnsi="宋体"/>
          <w:sz w:val="28"/>
        </w:rPr>
        <w:t>3）冲击波的危害；爆炸时产生的高温高压气体的传播速度极快，在传播过程中，会对周围环境中的机械设备和建筑物产生破坏作用；造成人员伤亡。</w:t>
      </w:r>
    </w:p>
    <w:p w14:paraId="3E5AFD7A">
      <w:pPr>
        <w:spacing w:line="500" w:lineRule="exact"/>
        <w:ind w:firstLine="560" w:firstLineChars="200"/>
        <w:rPr>
          <w:rFonts w:ascii="宋体" w:hAnsi="宋体"/>
          <w:sz w:val="28"/>
        </w:rPr>
      </w:pPr>
      <w:r>
        <w:rPr>
          <w:rFonts w:hint="eastAsia" w:ascii="宋体" w:hAnsi="宋体"/>
          <w:sz w:val="28"/>
        </w:rPr>
        <w:t>4）烟气毒性和环境污染；汽油燃烧、爆炸产生的一氧化碳、二氧化碳及由于卷吸产生的灰尘等，会造成人员中毒及环境污染。</w:t>
      </w:r>
    </w:p>
    <w:p w14:paraId="07EFE6D5">
      <w:pPr>
        <w:spacing w:line="500" w:lineRule="exact"/>
        <w:ind w:firstLine="560" w:firstLineChars="200"/>
        <w:rPr>
          <w:rFonts w:ascii="宋体" w:hAnsi="宋体"/>
          <w:sz w:val="28"/>
        </w:rPr>
      </w:pPr>
      <w:r>
        <w:rPr>
          <w:rFonts w:hint="eastAsia" w:ascii="宋体" w:hAnsi="宋体"/>
          <w:sz w:val="28"/>
        </w:rPr>
        <w:t>5）烟气温度危害；高温烟气会损害建筑物；对人员造成灼伤；影响人的呼吸等。</w:t>
      </w:r>
    </w:p>
    <w:p w14:paraId="7BAE70F8">
      <w:pPr>
        <w:adjustRightInd w:val="0"/>
        <w:snapToGrid w:val="0"/>
        <w:spacing w:line="500" w:lineRule="exact"/>
        <w:ind w:firstLine="560" w:firstLineChars="200"/>
        <w:rPr>
          <w:rFonts w:ascii="宋体" w:hAnsi="宋体"/>
          <w:sz w:val="28"/>
          <w:szCs w:val="28"/>
        </w:rPr>
      </w:pPr>
      <w:bookmarkStart w:id="412" w:name="_Toc424306321"/>
      <w:bookmarkStart w:id="413" w:name="_Toc438040973"/>
      <w:bookmarkStart w:id="414" w:name="_Toc433992420"/>
      <w:bookmarkStart w:id="415" w:name="_Toc489629091"/>
      <w:bookmarkStart w:id="416" w:name="_Toc424306070"/>
      <w:bookmarkStart w:id="417" w:name="_Toc420403932"/>
      <w:r>
        <w:rPr>
          <w:rFonts w:hint="eastAsia" w:ascii="宋体" w:hAnsi="宋体"/>
          <w:sz w:val="28"/>
          <w:szCs w:val="28"/>
        </w:rPr>
        <w:t>四、火灾爆炸存在部位</w:t>
      </w:r>
      <w:bookmarkEnd w:id="412"/>
      <w:bookmarkEnd w:id="413"/>
      <w:bookmarkEnd w:id="414"/>
      <w:bookmarkEnd w:id="415"/>
      <w:bookmarkEnd w:id="416"/>
      <w:bookmarkEnd w:id="417"/>
    </w:p>
    <w:p w14:paraId="2AC6B8DB">
      <w:pPr>
        <w:spacing w:line="500" w:lineRule="exact"/>
        <w:ind w:firstLine="560"/>
        <w:rPr>
          <w:rFonts w:ascii="宋体" w:hAnsi="宋体"/>
          <w:sz w:val="28"/>
        </w:rPr>
      </w:pPr>
      <w:r>
        <w:rPr>
          <w:rFonts w:hint="eastAsia" w:ascii="宋体" w:hAnsi="宋体"/>
          <w:sz w:val="28"/>
        </w:rPr>
        <w:t>加油站在运行过程中主要燃烧爆炸物质绝大多数存在于储罐、管道、阀门、加油机内部，是火灾爆炸事故发生和灾害扩大的根源。少数燃烧爆炸的物质存在于设备的外部，主要危险在于发生火灾爆炸后影响装置的正常运行，及至引起装置内部燃烧物质发生事故。</w:t>
      </w:r>
    </w:p>
    <w:p w14:paraId="6F7F6138">
      <w:pPr>
        <w:spacing w:line="500" w:lineRule="exact"/>
        <w:rPr>
          <w:rFonts w:ascii="宋体" w:hAnsi="宋体"/>
          <w:sz w:val="28"/>
        </w:rPr>
      </w:pPr>
      <w:r>
        <w:rPr>
          <w:rFonts w:hint="eastAsia" w:ascii="宋体" w:hAnsi="宋体"/>
          <w:sz w:val="28"/>
        </w:rPr>
        <w:t>装置中火灾爆炸事故可分为以下类型：</w:t>
      </w:r>
    </w:p>
    <w:p w14:paraId="6DF84412">
      <w:pPr>
        <w:spacing w:line="500" w:lineRule="exact"/>
        <w:ind w:firstLine="560" w:firstLineChars="200"/>
        <w:rPr>
          <w:rFonts w:ascii="宋体" w:hAnsi="宋体"/>
          <w:sz w:val="28"/>
        </w:rPr>
      </w:pPr>
      <w:r>
        <w:rPr>
          <w:rFonts w:hint="eastAsia" w:ascii="宋体" w:hAnsi="宋体"/>
          <w:sz w:val="28"/>
        </w:rPr>
        <w:t>1.储罐、加油机、管道、阀门等外部火灾爆炸事故</w:t>
      </w:r>
    </w:p>
    <w:p w14:paraId="1FD48AE3">
      <w:pPr>
        <w:spacing w:line="500" w:lineRule="exact"/>
        <w:ind w:firstLine="560"/>
        <w:rPr>
          <w:rFonts w:ascii="宋体" w:hAnsi="宋体"/>
          <w:sz w:val="28"/>
        </w:rPr>
      </w:pPr>
      <w:r>
        <w:rPr>
          <w:rFonts w:hint="eastAsia" w:ascii="宋体" w:hAnsi="宋体"/>
          <w:sz w:val="28"/>
        </w:rPr>
        <w:t>这类事故是指易燃油品泄漏在密闭装置系统以外形成的燃烧、爆炸性混合物的燃烧、爆炸，但未引起装置密闭系统内部的物料燃烧或爆炸。这种类型的火灾爆炸事故，如果发现及时，能够立即控制和隔离，只要未涉及储存设备、电气仪表，经营不会中断；但若发现不及时，使火势蔓延，就可能造成经营中断，影响的程度与事故涉及的范围、设备损坏程度、材料及备件储备情况、修复难易程度有关系。</w:t>
      </w:r>
    </w:p>
    <w:p w14:paraId="44DAA5F5">
      <w:pPr>
        <w:spacing w:line="500" w:lineRule="exact"/>
        <w:ind w:firstLine="560"/>
        <w:rPr>
          <w:rFonts w:ascii="宋体" w:hAnsi="宋体"/>
          <w:sz w:val="28"/>
        </w:rPr>
      </w:pPr>
      <w:r>
        <w:rPr>
          <w:rFonts w:ascii="宋体" w:hAnsi="宋体"/>
          <w:sz w:val="28"/>
        </w:rPr>
        <w:t>2</w:t>
      </w:r>
      <w:r>
        <w:rPr>
          <w:rFonts w:hint="eastAsia" w:ascii="宋体" w:hAnsi="宋体"/>
        </w:rPr>
        <w:t>.</w:t>
      </w:r>
      <w:r>
        <w:rPr>
          <w:rFonts w:hint="eastAsia" w:ascii="宋体" w:hAnsi="宋体"/>
          <w:sz w:val="28"/>
        </w:rPr>
        <w:t>加油机、储罐、管道、阀门等外部着火爆炸引起设备、管道内部物料的火灾爆炸事故</w:t>
      </w:r>
    </w:p>
    <w:p w14:paraId="4D49B942">
      <w:pPr>
        <w:spacing w:line="500" w:lineRule="exact"/>
        <w:ind w:firstLine="560"/>
        <w:rPr>
          <w:rFonts w:ascii="宋体" w:hAnsi="宋体"/>
        </w:rPr>
      </w:pPr>
      <w:r>
        <w:rPr>
          <w:rFonts w:hint="eastAsia" w:ascii="宋体" w:hAnsi="宋体"/>
          <w:sz w:val="28"/>
        </w:rPr>
        <w:t>这种类型的事故多数是由于第一种类型事故没有及时发现或控制不住，将加油机、储罐、管道、阀门、法兰等烧烤变形或破裂等造成物料外泄着火。如果得不到及时的控制，现场周围的电气、仪表、设备、设施都将被破坏，使事故进一步扩大化，可导致经营中断，甚至造成区域性经济损失和人员伤亡。</w:t>
      </w:r>
    </w:p>
    <w:p w14:paraId="3969CBEB">
      <w:pPr>
        <w:spacing w:line="500" w:lineRule="exact"/>
        <w:ind w:firstLine="493"/>
        <w:rPr>
          <w:rFonts w:ascii="宋体" w:hAnsi="宋体"/>
          <w:sz w:val="28"/>
        </w:rPr>
      </w:pPr>
      <w:r>
        <w:rPr>
          <w:rFonts w:ascii="宋体" w:hAnsi="宋体"/>
          <w:sz w:val="28"/>
        </w:rPr>
        <w:t>3</w:t>
      </w:r>
      <w:r>
        <w:rPr>
          <w:rFonts w:hint="eastAsia" w:ascii="宋体" w:hAnsi="宋体"/>
          <w:sz w:val="28"/>
        </w:rPr>
        <w:t>.加油机、储罐、管道、阀门等泄漏物料燃烧或爆炸，波及外部设备、设施泄漏物在容器外形成可燃蒸汽云，由于泄漏地点和火源往往有一定距离，在引燃前有一段延迟时间，其长短变化相当大，可从几秒到几小时，一旦点燃会接连不断地发生爆炸，可燃蒸汽云扩散到的地方，都会遭到爆炸的严重损害</w:t>
      </w:r>
    </w:p>
    <w:p w14:paraId="4AE90BBE">
      <w:pPr>
        <w:pStyle w:val="4"/>
        <w:spacing w:afterLines="100" w:line="500" w:lineRule="exact"/>
        <w:rPr>
          <w:rFonts w:ascii="黑体" w:hAnsi="宋体"/>
          <w:kern w:val="3"/>
          <w:sz w:val="28"/>
          <w:szCs w:val="28"/>
        </w:rPr>
      </w:pPr>
      <w:bookmarkStart w:id="418" w:name="_Toc185742314"/>
      <w:bookmarkStart w:id="419" w:name="_Toc297127679"/>
      <w:bookmarkStart w:id="420" w:name="_Toc290019917"/>
      <w:bookmarkStart w:id="421" w:name="_Toc71894930"/>
      <w:bookmarkStart w:id="422" w:name="_Toc326828417"/>
      <w:r>
        <w:rPr>
          <w:rFonts w:hint="eastAsia" w:ascii="黑体" w:hAnsi="宋体"/>
          <w:kern w:val="3"/>
          <w:sz w:val="28"/>
          <w:szCs w:val="28"/>
        </w:rPr>
        <w:t>5</w:t>
      </w:r>
      <w:r>
        <w:rPr>
          <w:rFonts w:ascii="黑体" w:hAnsi="宋体"/>
          <w:kern w:val="3"/>
          <w:sz w:val="28"/>
          <w:szCs w:val="28"/>
        </w:rPr>
        <w:t>.</w:t>
      </w:r>
      <w:r>
        <w:rPr>
          <w:rFonts w:hint="eastAsia" w:ascii="黑体" w:hAnsi="宋体"/>
          <w:kern w:val="3"/>
          <w:sz w:val="28"/>
          <w:szCs w:val="28"/>
        </w:rPr>
        <w:t>2.2</w:t>
      </w:r>
      <w:bookmarkEnd w:id="418"/>
      <w:bookmarkEnd w:id="419"/>
      <w:bookmarkEnd w:id="420"/>
      <w:r>
        <w:rPr>
          <w:rFonts w:hint="eastAsia" w:ascii="黑体" w:hAnsi="宋体"/>
          <w:kern w:val="3"/>
          <w:sz w:val="28"/>
          <w:szCs w:val="28"/>
        </w:rPr>
        <w:t>火灾爆炸事故树分析</w:t>
      </w:r>
      <w:bookmarkEnd w:id="421"/>
      <w:bookmarkEnd w:id="422"/>
    </w:p>
    <w:p w14:paraId="6B32E7C5">
      <w:pPr>
        <w:adjustRightInd w:val="0"/>
        <w:snapToGrid w:val="0"/>
        <w:spacing w:line="500" w:lineRule="atLeast"/>
        <w:ind w:firstLine="560"/>
        <w:rPr>
          <w:rFonts w:ascii="宋体" w:hAnsi="宋体"/>
          <w:snapToGrid w:val="0"/>
          <w:kern w:val="0"/>
          <w:sz w:val="28"/>
        </w:rPr>
      </w:pPr>
      <w:r>
        <w:rPr>
          <w:rFonts w:hint="eastAsia" w:ascii="宋体" w:hAnsi="宋体"/>
          <w:snapToGrid w:val="0"/>
          <w:kern w:val="0"/>
          <w:sz w:val="28"/>
        </w:rPr>
        <w:t>火灾爆炸是加油站最主要也是最容易发生的事故，根据加油站火灾爆炸发生的特点，评价小组给出本评价项目的故障树图，具体见图</w:t>
      </w:r>
    </w:p>
    <w:p w14:paraId="1085F7D0">
      <w:pPr>
        <w:adjustRightInd w:val="0"/>
        <w:snapToGrid w:val="0"/>
        <w:spacing w:line="500" w:lineRule="atLeast"/>
        <w:jc w:val="left"/>
        <w:rPr>
          <w:rFonts w:ascii="宋体" w:hAnsi="宋体"/>
        </w:rPr>
      </w:pPr>
      <w:r>
        <w:rPr>
          <w:rFonts w:hint="eastAsia" w:ascii="宋体" w:hAnsi="宋体"/>
          <w:snapToGrid w:val="0"/>
          <w:kern w:val="0"/>
          <w:sz w:val="28"/>
        </w:rPr>
        <w:t>5</w:t>
      </w:r>
      <w:r>
        <w:rPr>
          <w:rFonts w:ascii="宋体" w:hAnsi="宋体"/>
          <w:snapToGrid w:val="0"/>
          <w:kern w:val="0"/>
          <w:sz w:val="28"/>
        </w:rPr>
        <w:t>-</w:t>
      </w:r>
      <w:r>
        <w:rPr>
          <w:rFonts w:hint="eastAsia" w:ascii="宋体" w:hAnsi="宋体"/>
          <w:snapToGrid w:val="0"/>
          <w:kern w:val="0"/>
          <w:sz w:val="28"/>
        </w:rPr>
        <w:t>1、5</w:t>
      </w:r>
      <w:r>
        <w:rPr>
          <w:rFonts w:ascii="宋体" w:hAnsi="宋体"/>
          <w:snapToGrid w:val="0"/>
          <w:kern w:val="0"/>
          <w:sz w:val="28"/>
        </w:rPr>
        <w:t>-</w:t>
      </w:r>
      <w:r>
        <w:rPr>
          <w:rFonts w:hint="eastAsia" w:ascii="宋体" w:hAnsi="宋体"/>
          <w:snapToGrid w:val="0"/>
          <w:kern w:val="0"/>
          <w:sz w:val="28"/>
        </w:rPr>
        <w:t>2所示：</w:t>
      </w:r>
    </w:p>
    <w:p w14:paraId="6B28234D">
      <w:pPr>
        <w:adjustRightInd w:val="0"/>
        <w:snapToGrid w:val="0"/>
        <w:spacing w:line="360" w:lineRule="auto"/>
        <w:jc w:val="center"/>
        <w:rPr>
          <w:rFonts w:ascii="宋体" w:hAnsi="宋体"/>
        </w:rPr>
      </w:pPr>
      <w:r>
        <w:rPr>
          <w:rFonts w:hint="eastAsia" w:ascii="宋体" w:hAnsi="宋体"/>
        </w:rPr>
        <w:object>
          <v:shape id="_x0000_i1025" o:spt="75" type="#_x0000_t75" style="height:442.5pt;width:435.75pt;" o:ole="t" fillcolor="#6D6D6D" filled="f" o:preferrelative="t" stroked="f" coordsize="21600,21600">
            <v:path/>
            <v:fill on="f" focussize="0,0"/>
            <v:stroke on="f" joinstyle="miter"/>
            <v:imagedata r:id="rId31" o:title=""/>
            <o:lock v:ext="edit" aspectratio="t"/>
            <w10:wrap type="none"/>
            <w10:anchorlock/>
          </v:shape>
          <o:OLEObject Type="Embed" ProgID="Unknown" ShapeID="_x0000_i1025" DrawAspect="Content" ObjectID="_1468075725" r:id="rId30">
            <o:LockedField>false</o:LockedField>
          </o:OLEObject>
        </w:object>
      </w:r>
    </w:p>
    <w:p w14:paraId="5B5CD764">
      <w:pPr>
        <w:pStyle w:val="10"/>
        <w:jc w:val="center"/>
        <w:rPr>
          <w:rFonts w:ascii="宋体" w:hAnsi="宋体"/>
          <w:snapToGrid w:val="0"/>
          <w:kern w:val="0"/>
          <w:sz w:val="28"/>
        </w:rPr>
      </w:pPr>
      <w:r>
        <w:rPr>
          <w:rFonts w:hint="eastAsia" w:ascii="宋体" w:hAnsi="宋体"/>
          <w:snapToGrid w:val="0"/>
          <w:kern w:val="0"/>
          <w:sz w:val="28"/>
        </w:rPr>
        <w:t>图5-1 加油站火灾爆炸故障树一</w:t>
      </w:r>
    </w:p>
    <w:p w14:paraId="1B5DB51A">
      <w:pPr>
        <w:adjustRightInd w:val="0"/>
        <w:snapToGrid w:val="0"/>
        <w:spacing w:line="500" w:lineRule="atLeast"/>
        <w:jc w:val="center"/>
        <w:rPr>
          <w:rFonts w:ascii="宋体" w:hAnsi="宋体"/>
          <w:snapToGrid w:val="0"/>
          <w:kern w:val="0"/>
          <w:sz w:val="24"/>
        </w:rPr>
      </w:pPr>
      <w:r>
        <w:rPr>
          <w:rFonts w:hint="eastAsia" w:ascii="宋体" w:hAnsi="宋体"/>
        </w:rPr>
        <w:object>
          <v:shape id="_x0000_i1026" o:spt="75" type="#_x0000_t75" style="height:506.25pt;width:439.5pt;" o:ole="t" fillcolor="#6D6D6D" filled="f" o:preferrelative="t" stroked="f" coordsize="21600,21600">
            <v:path/>
            <v:fill on="f" focussize="0,0"/>
            <v:stroke on="f" joinstyle="miter"/>
            <v:imagedata r:id="rId33" o:title=""/>
            <o:lock v:ext="edit" aspectratio="t"/>
            <w10:wrap type="none"/>
            <w10:anchorlock/>
          </v:shape>
          <o:OLEObject Type="Embed" ProgID="Unknown" ShapeID="_x0000_i1026" DrawAspect="Content" ObjectID="_1468075726" r:id="rId32">
            <o:LockedField>false</o:LockedField>
          </o:OLEObject>
        </w:object>
      </w:r>
    </w:p>
    <w:p w14:paraId="67050610">
      <w:pPr>
        <w:pStyle w:val="10"/>
        <w:adjustRightInd w:val="0"/>
        <w:snapToGrid w:val="0"/>
        <w:spacing w:after="0" w:line="360" w:lineRule="auto"/>
        <w:jc w:val="center"/>
        <w:rPr>
          <w:rFonts w:ascii="宋体" w:hAnsi="宋体"/>
          <w:snapToGrid w:val="0"/>
          <w:kern w:val="0"/>
          <w:sz w:val="28"/>
        </w:rPr>
      </w:pPr>
      <w:r>
        <w:rPr>
          <w:rFonts w:hint="eastAsia" w:ascii="宋体" w:hAnsi="宋体"/>
          <w:snapToGrid w:val="0"/>
          <w:kern w:val="0"/>
          <w:sz w:val="28"/>
        </w:rPr>
        <w:t>图5-2 加油站火灾爆炸故障树二</w:t>
      </w:r>
    </w:p>
    <w:p w14:paraId="3CD0F3D9">
      <w:pPr>
        <w:adjustRightInd w:val="0"/>
        <w:snapToGrid w:val="0"/>
        <w:spacing w:line="500" w:lineRule="exact"/>
        <w:ind w:firstLine="560"/>
        <w:rPr>
          <w:rFonts w:ascii="宋体" w:hAnsi="宋体"/>
          <w:sz w:val="28"/>
        </w:rPr>
      </w:pPr>
      <w:r>
        <w:rPr>
          <w:rFonts w:hint="eastAsia" w:ascii="宋体" w:hAnsi="宋体"/>
          <w:sz w:val="28"/>
        </w:rPr>
        <w:t>根据布尔代数法进行逻辑运算和化简，求得最小割集为</w:t>
      </w:r>
      <w:r>
        <w:rPr>
          <w:rFonts w:ascii="宋体" w:hAnsi="宋体"/>
          <w:sz w:val="28"/>
        </w:rPr>
        <w:t>432</w:t>
      </w:r>
      <w:r>
        <w:rPr>
          <w:rFonts w:hint="eastAsia" w:ascii="宋体" w:hAnsi="宋体"/>
          <w:sz w:val="28"/>
        </w:rPr>
        <w:t>个。由此可知，加油站发生火灾爆炸事故的可能途径有</w:t>
      </w:r>
      <w:r>
        <w:rPr>
          <w:rFonts w:ascii="宋体" w:hAnsi="宋体"/>
          <w:sz w:val="28"/>
        </w:rPr>
        <w:t>432</w:t>
      </w:r>
      <w:r>
        <w:rPr>
          <w:rFonts w:hint="eastAsia" w:ascii="宋体" w:hAnsi="宋体"/>
          <w:sz w:val="28"/>
        </w:rPr>
        <w:t>种之多，证实了加油站发生火灾爆炸的危险性大。因此，需要制定切实有效的措施加以预防和管理。</w:t>
      </w:r>
    </w:p>
    <w:p w14:paraId="12BDC94F">
      <w:pPr>
        <w:adjustRightInd w:val="0"/>
        <w:snapToGrid w:val="0"/>
        <w:spacing w:line="500" w:lineRule="exact"/>
        <w:ind w:firstLine="560"/>
        <w:rPr>
          <w:rFonts w:ascii="宋体" w:hAnsi="宋体"/>
          <w:sz w:val="28"/>
        </w:rPr>
      </w:pPr>
      <w:r>
        <w:rPr>
          <w:rFonts w:hint="eastAsia" w:ascii="宋体" w:hAnsi="宋体"/>
          <w:sz w:val="28"/>
        </w:rPr>
        <w:t>由于故障树或门占绝大多数，所以便于用最小径集进行分析，求得最小径集有</w:t>
      </w:r>
      <w:r>
        <w:rPr>
          <w:rFonts w:ascii="宋体" w:hAnsi="宋体"/>
          <w:sz w:val="28"/>
        </w:rPr>
        <w:t>4</w:t>
      </w:r>
      <w:r>
        <w:rPr>
          <w:rFonts w:hint="eastAsia" w:ascii="宋体" w:hAnsi="宋体"/>
          <w:sz w:val="28"/>
        </w:rPr>
        <w:t>个，如下所示：</w:t>
      </w:r>
      <w:r>
        <w:rPr>
          <w:rFonts w:ascii="宋体" w:hAnsi="宋体"/>
          <w:sz w:val="28"/>
        </w:rPr>
        <w:t>    </w:t>
      </w:r>
      <w:r>
        <w:rPr>
          <w:rFonts w:hint="eastAsia" w:ascii="宋体" w:hAnsi="宋体"/>
          <w:sz w:val="28"/>
        </w:rPr>
        <w:t>　　</w:t>
      </w:r>
    </w:p>
    <w:p w14:paraId="10B5CAF3">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1</w:t>
      </w:r>
      <w:r>
        <w:rPr>
          <w:rFonts w:ascii="宋体" w:hAnsi="宋体"/>
          <w:sz w:val="28"/>
        </w:rPr>
        <w:t>={x</w:t>
      </w:r>
      <w:r>
        <w:rPr>
          <w:rFonts w:ascii="宋体" w:hAnsi="宋体"/>
          <w:sz w:val="28"/>
          <w:vertAlign w:val="subscript"/>
        </w:rPr>
        <w:t>1</w:t>
      </w:r>
      <w:r>
        <w:rPr>
          <w:rFonts w:ascii="宋体" w:hAnsi="宋体"/>
          <w:sz w:val="28"/>
        </w:rPr>
        <w:t>}</w:t>
      </w:r>
    </w:p>
    <w:p w14:paraId="1CB2BA9C">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2</w:t>
      </w:r>
      <w:r>
        <w:rPr>
          <w:rFonts w:ascii="宋体" w:hAnsi="宋体"/>
          <w:sz w:val="28"/>
        </w:rPr>
        <w:t>={x</w:t>
      </w:r>
      <w:r>
        <w:rPr>
          <w:rFonts w:ascii="宋体" w:hAnsi="宋体"/>
          <w:sz w:val="28"/>
          <w:vertAlign w:val="subscript"/>
        </w:rPr>
        <w:t>2</w:t>
      </w:r>
      <w:r>
        <w:rPr>
          <w:rFonts w:hint="eastAsia" w:ascii="宋体" w:hAnsi="宋体"/>
          <w:sz w:val="28"/>
        </w:rPr>
        <w:t>，……，</w:t>
      </w:r>
      <w:r>
        <w:rPr>
          <w:rFonts w:ascii="宋体" w:hAnsi="宋体"/>
          <w:sz w:val="28"/>
        </w:rPr>
        <w:t>x</w:t>
      </w:r>
      <w:r>
        <w:rPr>
          <w:rFonts w:ascii="宋体" w:hAnsi="宋体"/>
          <w:sz w:val="28"/>
          <w:vertAlign w:val="subscript"/>
        </w:rPr>
        <w:t>24</w:t>
      </w:r>
      <w:r>
        <w:rPr>
          <w:rFonts w:hint="eastAsia" w:ascii="宋体" w:hAnsi="宋体"/>
          <w:sz w:val="28"/>
        </w:rPr>
        <w:t>，……，</w:t>
      </w:r>
      <w:r>
        <w:rPr>
          <w:rFonts w:ascii="宋体" w:hAnsi="宋体"/>
          <w:sz w:val="28"/>
        </w:rPr>
        <w:t>x</w:t>
      </w:r>
      <w:r>
        <w:rPr>
          <w:rFonts w:ascii="宋体" w:hAnsi="宋体"/>
          <w:sz w:val="28"/>
          <w:vertAlign w:val="subscript"/>
        </w:rPr>
        <w:t>29</w:t>
      </w:r>
      <w:r>
        <w:rPr>
          <w:rFonts w:ascii="宋体" w:hAnsi="宋体"/>
          <w:sz w:val="28"/>
        </w:rPr>
        <w:t>}</w:t>
      </w:r>
    </w:p>
    <w:p w14:paraId="795D2F87">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3</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x</w:t>
      </w:r>
      <w:r>
        <w:rPr>
          <w:rFonts w:ascii="宋体" w:hAnsi="宋体"/>
          <w:sz w:val="28"/>
          <w:vertAlign w:val="subscript"/>
        </w:rPr>
        <w:t>43</w:t>
      </w:r>
      <w:r>
        <w:rPr>
          <w:rFonts w:ascii="宋体" w:hAnsi="宋体"/>
          <w:sz w:val="28"/>
        </w:rPr>
        <w:t>}</w:t>
      </w:r>
    </w:p>
    <w:p w14:paraId="59662104">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4</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 xml:space="preserve"> x</w:t>
      </w:r>
      <w:r>
        <w:rPr>
          <w:rFonts w:ascii="宋体" w:hAnsi="宋体"/>
          <w:sz w:val="28"/>
          <w:vertAlign w:val="subscript"/>
        </w:rPr>
        <w:t>13</w:t>
      </w:r>
      <w:r>
        <w:rPr>
          <w:rFonts w:hint="eastAsia" w:ascii="宋体" w:hAnsi="宋体"/>
          <w:sz w:val="28"/>
        </w:rPr>
        <w:t>，</w:t>
      </w:r>
      <w:r>
        <w:rPr>
          <w:rFonts w:ascii="宋体" w:hAnsi="宋体"/>
          <w:sz w:val="28"/>
        </w:rPr>
        <w:t>x</w:t>
      </w:r>
      <w:r>
        <w:rPr>
          <w:rFonts w:ascii="宋体" w:hAnsi="宋体"/>
          <w:sz w:val="28"/>
          <w:vertAlign w:val="subscript"/>
        </w:rPr>
        <w:t>14</w:t>
      </w:r>
      <w:r>
        <w:rPr>
          <w:rFonts w:hint="eastAsia" w:ascii="宋体" w:hAnsi="宋体"/>
          <w:sz w:val="28"/>
        </w:rPr>
        <w:t>，</w:t>
      </w:r>
      <w:r>
        <w:rPr>
          <w:rFonts w:ascii="宋体" w:hAnsi="宋体"/>
          <w:sz w:val="28"/>
        </w:rPr>
        <w:t>x</w:t>
      </w:r>
      <w:r>
        <w:rPr>
          <w:rFonts w:ascii="宋体" w:hAnsi="宋体"/>
          <w:sz w:val="28"/>
          <w:vertAlign w:val="subscript"/>
        </w:rPr>
        <w:t>16</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 xml:space="preserve"> x</w:t>
      </w:r>
      <w:r>
        <w:rPr>
          <w:rFonts w:ascii="宋体" w:hAnsi="宋体"/>
          <w:sz w:val="28"/>
          <w:vertAlign w:val="subscript"/>
        </w:rPr>
        <w:t>30</w:t>
      </w:r>
      <w:r>
        <w:rPr>
          <w:rFonts w:hint="eastAsia" w:ascii="宋体" w:hAnsi="宋体"/>
          <w:sz w:val="28"/>
        </w:rPr>
        <w:t>，……，</w:t>
      </w:r>
      <w:r>
        <w:rPr>
          <w:rFonts w:ascii="宋体" w:hAnsi="宋体"/>
          <w:sz w:val="28"/>
        </w:rPr>
        <w:t>x</w:t>
      </w:r>
      <w:r>
        <w:rPr>
          <w:rFonts w:ascii="宋体" w:hAnsi="宋体"/>
          <w:sz w:val="28"/>
          <w:vertAlign w:val="subscript"/>
        </w:rPr>
        <w:t>45</w:t>
      </w:r>
      <w:r>
        <w:rPr>
          <w:rFonts w:ascii="宋体" w:hAnsi="宋体"/>
          <w:sz w:val="28"/>
        </w:rPr>
        <w:t>}</w:t>
      </w:r>
    </w:p>
    <w:p w14:paraId="04C7EAB7">
      <w:pPr>
        <w:spacing w:line="500" w:lineRule="exact"/>
        <w:ind w:firstLine="493"/>
        <w:rPr>
          <w:rFonts w:ascii="宋体" w:hAnsi="宋体"/>
          <w:sz w:val="28"/>
        </w:rPr>
      </w:pPr>
      <w:r>
        <w:rPr>
          <w:rFonts w:hint="eastAsia" w:ascii="宋体" w:hAnsi="宋体"/>
          <w:sz w:val="28"/>
        </w:rPr>
        <w:t>从表示系统安全性的最小径集可以看出，加油站火灾爆炸事故的预防途径有</w:t>
      </w:r>
      <w:r>
        <w:rPr>
          <w:rFonts w:ascii="宋体" w:hAnsi="宋体"/>
          <w:sz w:val="28"/>
        </w:rPr>
        <w:t>4</w:t>
      </w:r>
      <w:r>
        <w:rPr>
          <w:rFonts w:hint="eastAsia" w:ascii="宋体" w:hAnsi="宋体"/>
          <w:sz w:val="28"/>
        </w:rPr>
        <w:t>个，只要保证任何一组最小径集中基本事件的集合都不发生，顶上事件便不会发生。</w:t>
      </w:r>
    </w:p>
    <w:p w14:paraId="18C85A57">
      <w:pPr>
        <w:pStyle w:val="4"/>
        <w:spacing w:afterLines="100" w:line="500" w:lineRule="exact"/>
        <w:jc w:val="center"/>
        <w:rPr>
          <w:rFonts w:ascii="楷体_GB2312" w:hAnsi="宋体" w:eastAsia="楷体_GB2312"/>
          <w:kern w:val="3"/>
        </w:rPr>
      </w:pPr>
      <w:bookmarkStart w:id="423" w:name="_Toc355685141"/>
      <w:bookmarkStart w:id="424" w:name="_Toc71894931"/>
      <w:r>
        <w:rPr>
          <w:rFonts w:hint="eastAsia" w:ascii="楷体_GB2312" w:hAnsi="宋体" w:eastAsia="楷体_GB2312"/>
          <w:kern w:val="3"/>
        </w:rPr>
        <w:t>5.3 事故案例分析</w:t>
      </w:r>
      <w:bookmarkEnd w:id="423"/>
      <w:bookmarkEnd w:id="424"/>
    </w:p>
    <w:p w14:paraId="2A54665D">
      <w:pPr>
        <w:spacing w:line="500" w:lineRule="exact"/>
        <w:ind w:firstLine="493"/>
        <w:rPr>
          <w:rFonts w:ascii="宋体" w:hAnsi="宋体"/>
          <w:sz w:val="28"/>
        </w:rPr>
      </w:pPr>
      <w:r>
        <w:rPr>
          <w:rFonts w:hint="eastAsia" w:ascii="宋体" w:hAnsi="宋体"/>
          <w:sz w:val="28"/>
        </w:rPr>
        <w:t>（1）</w:t>
      </w:r>
      <w:r>
        <w:rPr>
          <w:rFonts w:ascii="宋体" w:hAnsi="宋体"/>
          <w:sz w:val="28"/>
        </w:rPr>
        <w:t>加油站被雷击突然起火事故</w:t>
      </w:r>
    </w:p>
    <w:p w14:paraId="38F7B700">
      <w:pPr>
        <w:spacing w:line="500" w:lineRule="exact"/>
        <w:ind w:firstLine="493"/>
        <w:rPr>
          <w:rFonts w:ascii="宋体" w:hAnsi="宋体"/>
          <w:sz w:val="28"/>
        </w:rPr>
      </w:pPr>
      <w:r>
        <w:rPr>
          <w:rFonts w:hint="eastAsia" w:ascii="宋体" w:hAnsi="宋体"/>
          <w:sz w:val="28"/>
        </w:rPr>
        <w:t>某</w:t>
      </w:r>
      <w:r>
        <w:rPr>
          <w:rFonts w:ascii="宋体" w:hAnsi="宋体"/>
          <w:sz w:val="28"/>
        </w:rPr>
        <w:t>年8月20日下午，一声惊雷过后，钦州市浦北县寨圩镇平战加油站突然起火。该加油站共有4个油罐，共存有柴油20多t。这次火灾烧毁4个油罐，由于扑救及时，无人员伤亡。</w:t>
      </w:r>
    </w:p>
    <w:p w14:paraId="3E5BA589">
      <w:pPr>
        <w:spacing w:line="500" w:lineRule="exact"/>
        <w:ind w:firstLine="493"/>
        <w:rPr>
          <w:rFonts w:ascii="宋体" w:hAnsi="宋体"/>
          <w:sz w:val="28"/>
        </w:rPr>
      </w:pPr>
      <w:r>
        <w:rPr>
          <w:rFonts w:hint="eastAsia" w:ascii="宋体" w:hAnsi="宋体"/>
          <w:sz w:val="28"/>
        </w:rPr>
        <w:t>（2）</w:t>
      </w:r>
      <w:r>
        <w:rPr>
          <w:rFonts w:ascii="宋体" w:hAnsi="宋体"/>
          <w:sz w:val="28"/>
        </w:rPr>
        <w:t>古坝镇前姚加油站火灾爆炸事故</w:t>
      </w:r>
    </w:p>
    <w:p w14:paraId="499BCEB9">
      <w:pPr>
        <w:spacing w:line="500" w:lineRule="exact"/>
        <w:ind w:firstLine="493"/>
        <w:rPr>
          <w:rFonts w:ascii="宋体" w:hAnsi="宋体"/>
          <w:sz w:val="28"/>
        </w:rPr>
      </w:pPr>
      <w:r>
        <w:rPr>
          <w:rFonts w:ascii="宋体" w:hAnsi="宋体"/>
          <w:sz w:val="28"/>
        </w:rPr>
        <w:t>古坝镇前姚加油站有平房3间（1间为出租理发店、1间为加油站开票收款兼营百货小商店、1间为洗车店），与加油站相连的南北隔壁电器商店、缝纫店各1间。</w:t>
      </w:r>
      <w:r>
        <w:rPr>
          <w:rFonts w:hint="eastAsia" w:ascii="宋体" w:hAnsi="宋体"/>
          <w:sz w:val="28"/>
        </w:rPr>
        <w:t>某</w:t>
      </w:r>
      <w:r>
        <w:rPr>
          <w:rFonts w:ascii="宋体" w:hAnsi="宋体"/>
          <w:sz w:val="28"/>
        </w:rPr>
        <w:t>年8月10下午14：30，古坝镇前姚加油站向位于地下室内的90#汽油罐注装8240L90#汽油。由于油罐无安全附件，油罐上的排气管安装不规范，油气不能直接排入大气，致使大量的油蒸汽进入放置油罐的地下室内，在地下室和管沟及加油机内形成了汽油蒸汽与空气混合，形成爆炸混合气体。当日16：30左右，位于该加油站中间的一台90#汽油加油机开始向一辆拖拉机拉来的8只油桶内加入90#汽油1600L，在加油结束时，发生爆炸事故。炸毁上述5间平房，现场13人被埋入废墟，其中8人因房屋倒塌被当场砸死，砸伤2人，3人从废墟中自救脱险，未受损伤的加油站前，另有6人被爆炸飞出的水泥块和砖块砸伤。受伤的8人立即被送往医院抢救，其中1人因伤势过重，抢救无效，于8月11日凌晨0：30分死亡，7人经抢救脱离危险。这起事故共造成9人死亡，7人轻伤，直接经济损失为22.3298万元。</w:t>
      </w:r>
    </w:p>
    <w:p w14:paraId="3C574130">
      <w:pPr>
        <w:spacing w:line="500" w:lineRule="exact"/>
        <w:ind w:firstLine="493"/>
        <w:rPr>
          <w:rFonts w:ascii="宋体" w:hAnsi="宋体"/>
          <w:sz w:val="28"/>
        </w:rPr>
      </w:pPr>
      <w:bookmarkStart w:id="425" w:name="_Toc2748"/>
      <w:bookmarkStart w:id="426" w:name="_Toc195156273"/>
      <w:bookmarkStart w:id="427" w:name="_Toc7988"/>
      <w:bookmarkStart w:id="428" w:name="_Toc3257"/>
      <w:bookmarkStart w:id="429" w:name="_Toc46241185"/>
      <w:bookmarkStart w:id="430" w:name="_Toc27663"/>
      <w:bookmarkStart w:id="431" w:name="_Toc1234"/>
      <w:r>
        <w:rPr>
          <w:rFonts w:hint="eastAsia" w:ascii="宋体" w:hAnsi="宋体"/>
          <w:sz w:val="28"/>
        </w:rPr>
        <w:t>案例原因分析</w:t>
      </w:r>
      <w:bookmarkEnd w:id="425"/>
      <w:bookmarkEnd w:id="426"/>
      <w:bookmarkEnd w:id="427"/>
      <w:bookmarkEnd w:id="428"/>
      <w:bookmarkEnd w:id="429"/>
      <w:bookmarkEnd w:id="430"/>
      <w:bookmarkEnd w:id="431"/>
      <w:r>
        <w:rPr>
          <w:rFonts w:hint="eastAsia" w:ascii="宋体" w:hAnsi="宋体"/>
          <w:sz w:val="28"/>
        </w:rPr>
        <w:t>：</w:t>
      </w:r>
    </w:p>
    <w:p w14:paraId="21090636">
      <w:pPr>
        <w:suppressAutoHyphens/>
        <w:adjustRightInd w:val="0"/>
        <w:snapToGrid w:val="0"/>
        <w:spacing w:line="500" w:lineRule="exact"/>
        <w:ind w:firstLine="560" w:firstLineChars="200"/>
        <w:rPr>
          <w:sz w:val="28"/>
          <w:szCs w:val="28"/>
        </w:rPr>
      </w:pPr>
      <w:r>
        <w:rPr>
          <w:sz w:val="28"/>
          <w:szCs w:val="28"/>
        </w:rPr>
        <w:t>案例（1）是加油站被雷击起火事故，属站内管理缺陷所导致的事故。因此，站内所有油罐必须保证接地良好，并按期进行接地电阻测试，确保接地电阻阻值不大于</w:t>
      </w:r>
      <w:r>
        <w:rPr>
          <w:rFonts w:hint="eastAsia"/>
          <w:sz w:val="28"/>
          <w:szCs w:val="28"/>
        </w:rPr>
        <w:t>4</w:t>
      </w:r>
      <w:r>
        <w:rPr>
          <w:sz w:val="28"/>
          <w:szCs w:val="28"/>
        </w:rPr>
        <w:t>Ω。</w:t>
      </w:r>
    </w:p>
    <w:p w14:paraId="03A21452">
      <w:pPr>
        <w:suppressAutoHyphens/>
        <w:adjustRightInd w:val="0"/>
        <w:snapToGrid w:val="0"/>
        <w:spacing w:line="500" w:lineRule="exact"/>
        <w:ind w:firstLine="560" w:firstLineChars="200"/>
        <w:rPr>
          <w:sz w:val="28"/>
          <w:szCs w:val="28"/>
        </w:rPr>
      </w:pPr>
      <w:r>
        <w:rPr>
          <w:sz w:val="28"/>
          <w:szCs w:val="28"/>
        </w:rPr>
        <w:t>案例（</w:t>
      </w:r>
      <w:r>
        <w:rPr>
          <w:rFonts w:hint="eastAsia"/>
          <w:sz w:val="28"/>
          <w:szCs w:val="28"/>
        </w:rPr>
        <w:t>2</w:t>
      </w:r>
      <w:r>
        <w:rPr>
          <w:sz w:val="28"/>
          <w:szCs w:val="28"/>
        </w:rPr>
        <w:t>）事故直接原因是前姚加油站中间一台90#汽油加油机内的防爆继电器安装不规范，继电器内一根相线的绝缘包皮被夹破，加油机连续工作近1个小时，加油机电器线路发热，在继电器相线绝缘性能下降的情况下漏电，致使该台加油机内电器线路温度剧升，绝缘包皮燃烧产生的明火，遇加油机内、地沟内的爆炸性混合气体引起爆轰，经地沟传至地下室的爆炸性气体同时爆炸，造成加油站及毗邻的建筑物倒塌，并引发火灾。事故间接原因是违反了加油站在工艺、设计上的两个核心安全上的原则：一是防止油气泄漏，减少油气挥发；二是不产生油气积聚的条件，以防止火灾爆炸的条件产生。所以加油站的工艺技术关键：</w:t>
      </w:r>
    </w:p>
    <w:p w14:paraId="4DF43F8A">
      <w:pPr>
        <w:suppressAutoHyphens/>
        <w:adjustRightInd w:val="0"/>
        <w:snapToGrid w:val="0"/>
        <w:spacing w:line="500" w:lineRule="exact"/>
        <w:ind w:firstLine="560" w:firstLineChars="200"/>
        <w:rPr>
          <w:sz w:val="28"/>
          <w:szCs w:val="28"/>
        </w:rPr>
      </w:pPr>
      <w:r>
        <w:rPr>
          <w:sz w:val="28"/>
          <w:szCs w:val="28"/>
        </w:rPr>
        <w:t>一是严禁将油罐设在室内、地下室及半地下室内，加油机必须露天放置，以杜绝油罐和加油机万一发生泄漏，油气在室内积聚达到爆炸浓度，造成火灾爆炸事故；</w:t>
      </w:r>
    </w:p>
    <w:p w14:paraId="5BDD41C8">
      <w:pPr>
        <w:suppressAutoHyphens/>
        <w:adjustRightInd w:val="0"/>
        <w:snapToGrid w:val="0"/>
        <w:spacing w:line="500" w:lineRule="exact"/>
        <w:ind w:firstLine="560" w:firstLineChars="200"/>
        <w:rPr>
          <w:sz w:val="28"/>
          <w:szCs w:val="28"/>
        </w:rPr>
      </w:pPr>
      <w:r>
        <w:rPr>
          <w:sz w:val="28"/>
          <w:szCs w:val="28"/>
        </w:rPr>
        <w:t>二是油罐车卸油必须采用密闭卸油方式，油罐进油管应向下伸至罐底0.2m处，最大限度地防止油品入罐时的油气挥发；</w:t>
      </w:r>
    </w:p>
    <w:p w14:paraId="2198E174">
      <w:pPr>
        <w:ind w:firstLine="560"/>
        <w:rPr>
          <w:rFonts w:ascii="宋体" w:hAnsi="宋体"/>
          <w:sz w:val="28"/>
          <w:szCs w:val="28"/>
        </w:rPr>
      </w:pPr>
      <w:r>
        <w:rPr>
          <w:sz w:val="28"/>
          <w:szCs w:val="28"/>
        </w:rPr>
        <w:t>三是汽、柴油罐通气管应分开设置，管口应高于地面4m以上（沿建筑物墙体向上敷设时应高出建筑物顶面1.5m），以防止挥发性油气在地面集聚，达到爆炸浓度。同时，油罐通气管口应安装阻火器，以防止火星从管口进入罐内，造成油罐火灾爆炸事故。</w:t>
      </w:r>
    </w:p>
    <w:p w14:paraId="6F23057D">
      <w:pPr>
        <w:pStyle w:val="4"/>
        <w:spacing w:afterLines="100" w:line="500" w:lineRule="exact"/>
        <w:jc w:val="center"/>
        <w:rPr>
          <w:rFonts w:ascii="楷体_GB2312" w:hAnsi="宋体" w:eastAsia="楷体_GB2312"/>
          <w:kern w:val="3"/>
        </w:rPr>
      </w:pPr>
      <w:bookmarkStart w:id="432" w:name="_Toc71894932"/>
      <w:r>
        <w:rPr>
          <w:rFonts w:hint="eastAsia" w:ascii="楷体_GB2312" w:hAnsi="宋体" w:eastAsia="楷体_GB2312"/>
          <w:kern w:val="3"/>
        </w:rPr>
        <w:t>5.4 事故案例教训及启发</w:t>
      </w:r>
      <w:bookmarkEnd w:id="432"/>
    </w:p>
    <w:p w14:paraId="5F88FAAC">
      <w:pPr>
        <w:spacing w:line="500" w:lineRule="exact"/>
        <w:ind w:firstLine="560" w:firstLineChars="200"/>
        <w:rPr>
          <w:rFonts w:ascii="宋体" w:hAnsi="宋体"/>
          <w:sz w:val="28"/>
          <w:szCs w:val="28"/>
        </w:rPr>
      </w:pPr>
      <w:r>
        <w:rPr>
          <w:rFonts w:hint="eastAsia" w:ascii="宋体" w:hAnsi="宋体"/>
          <w:sz w:val="28"/>
        </w:rPr>
        <w:t>通过以上事故分析，加油站加油区、油罐区属爆炸危险区域，在爆炸危险区域严禁动用明火，加油站人员素质及安全教育也是加油站事故发生的关键，从历年加油站事故分析得到的启发是加油站的安全必须从建设开始抓起，从源头消除事故隐患，日常经营中加油站应加强操作人员的岗位责任心教育，严格执行操作规程。加强安全管理，将生产安全落实到实处。</w:t>
      </w:r>
    </w:p>
    <w:p w14:paraId="03EA8522">
      <w:pPr>
        <w:pStyle w:val="4"/>
        <w:spacing w:afterLines="100" w:line="500" w:lineRule="exact"/>
        <w:jc w:val="center"/>
        <w:rPr>
          <w:rFonts w:ascii="楷体_GB2312" w:hAnsi="宋体" w:eastAsia="楷体_GB2312"/>
          <w:kern w:val="3"/>
        </w:rPr>
      </w:pPr>
      <w:r>
        <w:rPr>
          <w:rFonts w:ascii="宋体" w:hAnsi="宋体" w:eastAsia="宋体"/>
        </w:rPr>
        <w:br w:type="page"/>
      </w:r>
      <w:bookmarkStart w:id="433" w:name="_Toc71894933"/>
      <w:r>
        <w:rPr>
          <w:rFonts w:hint="eastAsia" w:ascii="楷体_GB2312" w:hAnsi="宋体" w:eastAsia="楷体_GB2312"/>
          <w:kern w:val="3"/>
        </w:rPr>
        <w:t>第6章  安全生产条件的分析</w:t>
      </w:r>
      <w:bookmarkEnd w:id="433"/>
    </w:p>
    <w:p w14:paraId="2AEC1838">
      <w:pPr>
        <w:pStyle w:val="4"/>
        <w:spacing w:afterLines="100" w:line="500" w:lineRule="exact"/>
        <w:jc w:val="center"/>
        <w:rPr>
          <w:rFonts w:ascii="楷体_GB2312" w:hAnsi="宋体" w:eastAsia="楷体_GB2312"/>
          <w:kern w:val="3"/>
        </w:rPr>
      </w:pPr>
      <w:bookmarkStart w:id="434" w:name="_Toc71894934"/>
      <w:r>
        <w:rPr>
          <w:rFonts w:hint="eastAsia" w:ascii="楷体_GB2312" w:hAnsi="宋体" w:eastAsia="楷体_GB2312"/>
          <w:kern w:val="3"/>
        </w:rPr>
        <w:t>6.1外部安全条件与站址评价单元</w:t>
      </w:r>
      <w:bookmarkEnd w:id="434"/>
    </w:p>
    <w:p w14:paraId="1096460D">
      <w:pPr>
        <w:pStyle w:val="4"/>
        <w:spacing w:afterLines="100" w:line="500" w:lineRule="exact"/>
        <w:rPr>
          <w:rFonts w:ascii="黑体" w:hAnsi="宋体"/>
          <w:kern w:val="3"/>
          <w:sz w:val="28"/>
          <w:szCs w:val="28"/>
        </w:rPr>
      </w:pPr>
      <w:bookmarkStart w:id="435" w:name="_Toc196033055"/>
      <w:bookmarkStart w:id="436" w:name="_Toc71894935"/>
      <w:bookmarkStart w:id="437" w:name="_Toc321068237"/>
      <w:bookmarkStart w:id="438" w:name="_Toc173303827"/>
      <w:bookmarkStart w:id="439" w:name="_Toc125394047"/>
      <w:r>
        <w:rPr>
          <w:rFonts w:hint="eastAsia" w:ascii="黑体" w:hAnsi="宋体"/>
          <w:kern w:val="3"/>
          <w:sz w:val="28"/>
          <w:szCs w:val="28"/>
        </w:rPr>
        <w:t>6.1.1评价项目的危险、有害因素与周边环境的相互影响分析</w:t>
      </w:r>
      <w:bookmarkEnd w:id="435"/>
      <w:bookmarkEnd w:id="436"/>
      <w:bookmarkEnd w:id="437"/>
      <w:bookmarkEnd w:id="438"/>
      <w:bookmarkEnd w:id="439"/>
    </w:p>
    <w:p w14:paraId="5F6AC81E">
      <w:pPr>
        <w:spacing w:line="500" w:lineRule="exact"/>
        <w:ind w:firstLine="560" w:firstLineChars="200"/>
        <w:rPr>
          <w:rFonts w:hint="eastAsia" w:ascii="宋体" w:hAnsi="宋体"/>
          <w:color w:val="000000"/>
          <w:sz w:val="28"/>
        </w:rPr>
      </w:pPr>
      <w:r>
        <w:rPr>
          <w:rFonts w:hint="eastAsia" w:ascii="宋体" w:hAnsi="宋体"/>
          <w:color w:val="000000"/>
          <w:sz w:val="28"/>
        </w:rPr>
        <w:t>盐津县豆沙狮子湾加油站位于云南省昭通市盐津县豆沙镇黑喜村狮子湾，加油站坐南朝北布置，加油站北面（站前）为水麻线公路，隔公路为荒山，公路边缘距离站内最近的汽油、柴油加油机为7.8m，距离埋地柴汽油罐、柴油罐分别为16.1m、20.4m，距离汽油、柴油通气管口为16.4m。</w:t>
      </w:r>
    </w:p>
    <w:p w14:paraId="14BC89BD">
      <w:pPr>
        <w:spacing w:line="500" w:lineRule="exact"/>
        <w:ind w:firstLine="560" w:firstLineChars="200"/>
        <w:rPr>
          <w:rFonts w:hint="eastAsia" w:ascii="宋体" w:hAnsi="宋体"/>
          <w:color w:val="000000"/>
          <w:sz w:val="28"/>
        </w:rPr>
      </w:pPr>
      <w:r>
        <w:rPr>
          <w:rFonts w:hint="eastAsia" w:ascii="宋体" w:hAnsi="宋体"/>
          <w:color w:val="000000"/>
          <w:sz w:val="28"/>
        </w:rPr>
        <w:t>加油站北面有一东西走向的380V架空电力线（杆高9m），架空电力线与加油站隔路相邻；架空电力线距离站内最近的汽油、柴油加油机为25.6m，距离埋地柴汽油罐、柴油罐分别为34.2m、38m，距离汽油、柴油通气管口为33.8m。</w:t>
      </w:r>
    </w:p>
    <w:p w14:paraId="2188DA4C">
      <w:pPr>
        <w:spacing w:line="500" w:lineRule="exact"/>
        <w:ind w:firstLine="560" w:firstLineChars="200"/>
        <w:rPr>
          <w:rFonts w:hint="eastAsia" w:ascii="宋体" w:hAnsi="宋体"/>
          <w:color w:val="000000"/>
          <w:sz w:val="28"/>
        </w:rPr>
      </w:pPr>
      <w:r>
        <w:rPr>
          <w:rFonts w:hint="eastAsia" w:ascii="宋体" w:hAnsi="宋体"/>
          <w:color w:val="000000"/>
          <w:sz w:val="28"/>
        </w:rPr>
        <w:t>加油站东面为民房，民房按照站外民用建筑物保护类别三类保护物计算，距离站内最近的汽油、柴油加油机分别为15.5m、19.5m，距离埋地汽油罐、柴油罐为分别为9m、7.2m，距离汽油、柴油通气管口为13.3m；</w:t>
      </w:r>
    </w:p>
    <w:p w14:paraId="13DAEA6F">
      <w:pPr>
        <w:spacing w:line="500" w:lineRule="exact"/>
        <w:ind w:firstLine="560" w:firstLineChars="200"/>
        <w:rPr>
          <w:rFonts w:hint="eastAsia" w:ascii="宋体" w:hAnsi="宋体"/>
          <w:color w:val="000000"/>
          <w:sz w:val="28"/>
        </w:rPr>
      </w:pPr>
      <w:r>
        <w:rPr>
          <w:rFonts w:hint="eastAsia" w:ascii="宋体" w:hAnsi="宋体"/>
          <w:color w:val="000000"/>
          <w:sz w:val="28"/>
        </w:rPr>
        <w:t>加油站东面有洗车机，洗车机按照站外民用建筑物保护类别三类保护物计算，距离站内最近的汽油、柴油加油机分别为27.5m，距离埋地汽油罐、柴油罐为分别为17m、15.2m，距离汽油、柴油通气管口为21.3m；</w:t>
      </w:r>
    </w:p>
    <w:p w14:paraId="692E0BFC">
      <w:pPr>
        <w:spacing w:line="500" w:lineRule="exact"/>
        <w:ind w:firstLine="560" w:firstLineChars="200"/>
        <w:rPr>
          <w:rFonts w:hint="eastAsia" w:ascii="宋体" w:hAnsi="宋体"/>
          <w:color w:val="000000"/>
          <w:sz w:val="28"/>
        </w:rPr>
      </w:pPr>
      <w:r>
        <w:rPr>
          <w:rFonts w:hint="eastAsia" w:ascii="宋体" w:hAnsi="宋体"/>
          <w:color w:val="000000"/>
          <w:sz w:val="28"/>
        </w:rPr>
        <w:t>加油站南面为大关河，距离站区边界15.7m。加油站南面紧邻加油站未高约11m的边坡，边坡采用重力式挡土墙进行支护，挡土墙选取合适的持力层，高度不超过8m，超过8m时采取分台处理，确定基础进入岩土深度，挡土墙上设置排水孔，挡墙外设排洪沟。</w:t>
      </w:r>
    </w:p>
    <w:p w14:paraId="575DACF5">
      <w:pPr>
        <w:spacing w:line="500" w:lineRule="exact"/>
        <w:ind w:firstLine="560" w:firstLineChars="200"/>
        <w:rPr>
          <w:rFonts w:hint="eastAsia" w:ascii="宋体" w:hAnsi="宋体"/>
          <w:color w:val="000000"/>
          <w:sz w:val="28"/>
        </w:rPr>
      </w:pPr>
      <w:r>
        <w:rPr>
          <w:rFonts w:hint="eastAsia" w:ascii="宋体" w:hAnsi="宋体"/>
          <w:color w:val="000000"/>
          <w:sz w:val="28"/>
        </w:rPr>
        <w:t>加油站西面为空地。</w:t>
      </w:r>
    </w:p>
    <w:p w14:paraId="1FD41929">
      <w:pPr>
        <w:spacing w:line="500" w:lineRule="exact"/>
        <w:ind w:firstLine="560" w:firstLineChars="200"/>
        <w:rPr>
          <w:rFonts w:ascii="宋体" w:hAnsi="宋体"/>
          <w:sz w:val="28"/>
          <w:szCs w:val="28"/>
        </w:rPr>
      </w:pPr>
      <w:r>
        <w:rPr>
          <w:rFonts w:hint="eastAsia"/>
          <w:sz w:val="28"/>
          <w:szCs w:val="28"/>
        </w:rPr>
        <w:t>。</w:t>
      </w:r>
      <w:r>
        <w:rPr>
          <w:rFonts w:hint="eastAsia" w:ascii="宋体" w:hAnsi="宋体"/>
          <w:sz w:val="28"/>
        </w:rPr>
        <w:t>加油站</w:t>
      </w:r>
      <w:r>
        <w:rPr>
          <w:rFonts w:hint="eastAsia" w:ascii="宋体" w:hAnsi="宋体"/>
          <w:sz w:val="28"/>
          <w:szCs w:val="28"/>
        </w:rPr>
        <w:t>周边</w:t>
      </w:r>
      <w:r>
        <w:rPr>
          <w:rFonts w:hint="eastAsia"/>
          <w:sz w:val="28"/>
          <w:szCs w:val="28"/>
        </w:rPr>
        <w:t>无特殊名胜、风景、旅游，动植物及水生物保护区等环境保护敏感点</w:t>
      </w:r>
      <w:r>
        <w:rPr>
          <w:rFonts w:hint="eastAsia"/>
          <w:sz w:val="28"/>
          <w:szCs w:val="28"/>
          <w:lang w:eastAsia="zh-CN"/>
        </w:rPr>
        <w:t>。</w:t>
      </w:r>
      <w:r>
        <w:rPr>
          <w:rFonts w:hint="eastAsia" w:ascii="宋体" w:hAnsi="宋体"/>
          <w:sz w:val="28"/>
        </w:rPr>
        <w:t>站址选择是考虑了有方便的电源、水源、及通信线路，站址避开地下构筑物、各类地下管线、地下电(光)缆、塌陷区及有洪水、滑坡危险等地质不良地段，站址与公路高差小等有利条件</w:t>
      </w:r>
      <w:r>
        <w:rPr>
          <w:rFonts w:hint="eastAsia" w:ascii="宋体" w:hAnsi="宋体"/>
          <w:bCs/>
          <w:snapToGrid w:val="0"/>
          <w:kern w:val="0"/>
          <w:sz w:val="28"/>
          <w:szCs w:val="28"/>
        </w:rPr>
        <w:t>。</w:t>
      </w:r>
    </w:p>
    <w:p w14:paraId="6F623D12">
      <w:pPr>
        <w:pStyle w:val="4"/>
        <w:spacing w:afterLines="100" w:line="500" w:lineRule="exact"/>
        <w:rPr>
          <w:rFonts w:ascii="黑体" w:hAnsi="宋体"/>
          <w:kern w:val="3"/>
          <w:sz w:val="28"/>
          <w:szCs w:val="28"/>
        </w:rPr>
      </w:pPr>
      <w:bookmarkStart w:id="440" w:name="_Toc321068238"/>
      <w:bookmarkStart w:id="441" w:name="_Toc196033057"/>
      <w:bookmarkStart w:id="442" w:name="_Toc71894936"/>
      <w:r>
        <w:rPr>
          <w:rFonts w:hint="eastAsia" w:ascii="黑体" w:hAnsi="宋体"/>
          <w:kern w:val="3"/>
          <w:sz w:val="28"/>
          <w:szCs w:val="28"/>
        </w:rPr>
        <w:t>6.1.2自然条件对评价项目的影响分析</w:t>
      </w:r>
      <w:bookmarkEnd w:id="440"/>
      <w:bookmarkEnd w:id="441"/>
      <w:bookmarkEnd w:id="442"/>
    </w:p>
    <w:p w14:paraId="5B2C25C4">
      <w:pPr>
        <w:autoSpaceDE w:val="0"/>
        <w:autoSpaceDN w:val="0"/>
        <w:adjustRightInd w:val="0"/>
        <w:snapToGrid w:val="0"/>
        <w:spacing w:line="500" w:lineRule="exact"/>
        <w:ind w:firstLine="560" w:firstLineChars="200"/>
        <w:jc w:val="left"/>
        <w:rPr>
          <w:rFonts w:ascii="宋体" w:hAnsi="宋体"/>
          <w:sz w:val="28"/>
          <w:szCs w:val="28"/>
        </w:rPr>
      </w:pPr>
      <w:r>
        <w:rPr>
          <w:rFonts w:hint="eastAsia" w:ascii="宋体" w:hAnsi="宋体"/>
          <w:sz w:val="28"/>
          <w:szCs w:val="28"/>
        </w:rPr>
        <w:t>加油站所在地自然条件对本工程的影响主要包括气象条件和地质条件两方面。</w:t>
      </w:r>
    </w:p>
    <w:p w14:paraId="605A583C">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1.气温</w:t>
      </w:r>
    </w:p>
    <w:p w14:paraId="548B6DD4">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加油站涉及的物质和设备、设施对气温没有特殊的要求；</w:t>
      </w:r>
    </w:p>
    <w:p w14:paraId="129B84FC">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2.风速及风向影响</w:t>
      </w:r>
    </w:p>
    <w:p w14:paraId="026F76F7">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风速及风向问题对加油站运行没有大的影响，适合的风速有利于油气扩散；正常情况下风对加油站经营过程中安全性的影响较小。</w:t>
      </w:r>
    </w:p>
    <w:p w14:paraId="23AF6DCD">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3.雷击</w:t>
      </w:r>
    </w:p>
    <w:p w14:paraId="3D0B3646">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雷击易引起加油站设备、设施损坏及引发火灾爆炸事故。因此，加油站在经营管理过程中都必须高度重视，采取防雷措施，防雷效果必须通过当地气象部门的定期检测并符合要求，确保防雷设施的可靠性。</w:t>
      </w:r>
    </w:p>
    <w:p w14:paraId="5DF053E2">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4.地质条件影响分析</w:t>
      </w:r>
    </w:p>
    <w:p w14:paraId="6BEB90B3">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加油站建设地震烈度按</w:t>
      </w:r>
      <w:r>
        <w:rPr>
          <w:rFonts w:hint="eastAsia" w:ascii="宋体" w:hAnsi="宋体"/>
          <w:sz w:val="28"/>
          <w:szCs w:val="28"/>
          <w:lang w:val="en-US" w:eastAsia="zh-CN"/>
        </w:rPr>
        <w:t>7</w:t>
      </w:r>
      <w:r>
        <w:rPr>
          <w:rFonts w:hint="eastAsia" w:ascii="宋体" w:hAnsi="宋体"/>
          <w:sz w:val="28"/>
          <w:szCs w:val="28"/>
        </w:rPr>
        <w:t>度设防。根据地质条件，对于该站的站房及设备基础，根据具体情况和要求，按设计要求或地质勘查报告的要求进行地基处理。站区周围地势开阔，无高层建筑物，如果发生地震，不会对周围环境带来危险、危害。加油站周围未存在滑坡、泥石流等地质灾害可能性。</w:t>
      </w:r>
    </w:p>
    <w:p w14:paraId="6CACED7A">
      <w:pPr>
        <w:spacing w:line="500" w:lineRule="exact"/>
        <w:ind w:firstLine="560" w:firstLineChars="200"/>
        <w:rPr>
          <w:rFonts w:ascii="宋体" w:hAnsi="宋体"/>
          <w:sz w:val="28"/>
          <w:szCs w:val="28"/>
        </w:rPr>
      </w:pPr>
      <w:r>
        <w:rPr>
          <w:rFonts w:hint="eastAsia" w:ascii="宋体" w:hAnsi="宋体"/>
          <w:sz w:val="28"/>
          <w:szCs w:val="28"/>
        </w:rPr>
        <w:t>综上所述，</w:t>
      </w:r>
      <w:r>
        <w:rPr>
          <w:rFonts w:hint="eastAsia" w:ascii="宋体" w:hAnsi="宋体"/>
          <w:sz w:val="28"/>
          <w:szCs w:val="28"/>
          <w:lang w:eastAsia="zh-CN"/>
        </w:rPr>
        <w:t>盐津县豆沙狮子湾加油站</w:t>
      </w:r>
      <w:r>
        <w:rPr>
          <w:rFonts w:ascii="宋体" w:hAnsi="宋体"/>
          <w:sz w:val="28"/>
          <w:szCs w:val="28"/>
        </w:rPr>
        <w:t>场地</w:t>
      </w:r>
      <w:r>
        <w:rPr>
          <w:rFonts w:hint="eastAsia" w:ascii="宋体" w:hAnsi="宋体"/>
          <w:sz w:val="28"/>
          <w:szCs w:val="28"/>
        </w:rPr>
        <w:t>地形地质无不良影响：</w:t>
      </w:r>
      <w:r>
        <w:rPr>
          <w:rFonts w:ascii="宋体" w:hAnsi="宋体"/>
          <w:sz w:val="28"/>
          <w:szCs w:val="28"/>
        </w:rPr>
        <w:t>无断层</w:t>
      </w:r>
      <w:r>
        <w:rPr>
          <w:rFonts w:hint="eastAsia" w:ascii="宋体" w:hAnsi="宋体"/>
          <w:sz w:val="28"/>
          <w:szCs w:val="28"/>
        </w:rPr>
        <w:t>、严重流砂、淤泥、溶洞等，满足安全条件。</w:t>
      </w:r>
    </w:p>
    <w:p w14:paraId="67DCCB0A">
      <w:pPr>
        <w:pStyle w:val="4"/>
        <w:spacing w:afterLines="100" w:line="500" w:lineRule="exact"/>
        <w:rPr>
          <w:rFonts w:ascii="黑体" w:hAnsi="宋体"/>
          <w:kern w:val="3"/>
          <w:sz w:val="28"/>
          <w:szCs w:val="28"/>
        </w:rPr>
      </w:pPr>
      <w:bookmarkStart w:id="443" w:name="_Toc193533425"/>
      <w:bookmarkStart w:id="444" w:name="_Toc71894937"/>
      <w:bookmarkStart w:id="445" w:name="_Toc321068239"/>
      <w:r>
        <w:rPr>
          <w:rFonts w:hint="eastAsia" w:ascii="黑体" w:hAnsi="宋体"/>
          <w:kern w:val="3"/>
          <w:sz w:val="28"/>
          <w:szCs w:val="28"/>
        </w:rPr>
        <w:t>6.1.3周边环境</w:t>
      </w:r>
      <w:bookmarkEnd w:id="443"/>
      <w:r>
        <w:rPr>
          <w:rFonts w:hint="eastAsia" w:ascii="黑体" w:hAnsi="宋体"/>
          <w:kern w:val="3"/>
          <w:sz w:val="28"/>
          <w:szCs w:val="28"/>
        </w:rPr>
        <w:t>影响</w:t>
      </w:r>
      <w:bookmarkEnd w:id="444"/>
      <w:bookmarkEnd w:id="445"/>
    </w:p>
    <w:p w14:paraId="7E0CBAEE">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ascii="宋体" w:hAnsi="宋体"/>
          <w:snapToGrid w:val="0"/>
          <w:kern w:val="0"/>
          <w:sz w:val="28"/>
          <w:szCs w:val="28"/>
        </w:rPr>
        <w:t>若</w:t>
      </w:r>
      <w:r>
        <w:rPr>
          <w:rFonts w:hint="eastAsia" w:ascii="宋体" w:hAnsi="宋体"/>
          <w:snapToGrid w:val="0"/>
          <w:kern w:val="0"/>
          <w:sz w:val="28"/>
          <w:szCs w:val="28"/>
        </w:rPr>
        <w:t>加油站站前公路上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r>
        <w:rPr>
          <w:rFonts w:hint="eastAsia" w:ascii="宋体" w:hAnsi="宋体"/>
          <w:snapToGrid w:val="0"/>
          <w:kern w:val="0"/>
          <w:sz w:val="28"/>
          <w:szCs w:val="28"/>
        </w:rPr>
        <w:t>。</w:t>
      </w:r>
    </w:p>
    <w:p w14:paraId="106C5E3F">
      <w:pPr>
        <w:adjustRightInd w:val="0"/>
        <w:snapToGrid w:val="0"/>
        <w:spacing w:line="500" w:lineRule="exact"/>
        <w:ind w:firstLine="560" w:firstLineChars="200"/>
        <w:rPr>
          <w:rFonts w:ascii="宋体" w:hAnsi="宋体"/>
          <w:sz w:val="28"/>
          <w:szCs w:val="28"/>
        </w:rPr>
      </w:pPr>
      <w:r>
        <w:rPr>
          <w:rFonts w:hint="eastAsia" w:ascii="宋体" w:hAnsi="宋体"/>
          <w:sz w:val="28"/>
          <w:szCs w:val="28"/>
        </w:rPr>
        <w:t>2.若加油站周围发生火灾等可能会对加油站造成火灾、爆炸等危险。</w:t>
      </w:r>
    </w:p>
    <w:p w14:paraId="47DBFCC9">
      <w:pPr>
        <w:adjustRightInd w:val="0"/>
        <w:snapToGrid w:val="0"/>
        <w:spacing w:line="500" w:lineRule="exact"/>
        <w:ind w:firstLine="560" w:firstLineChars="200"/>
        <w:rPr>
          <w:rFonts w:ascii="宋体" w:hAnsi="宋体"/>
          <w:sz w:val="28"/>
          <w:szCs w:val="28"/>
        </w:rPr>
      </w:pPr>
      <w:r>
        <w:rPr>
          <w:rFonts w:hint="eastAsia" w:ascii="宋体" w:hAnsi="宋体"/>
          <w:sz w:val="28"/>
          <w:szCs w:val="28"/>
        </w:rPr>
        <w:t>3.若进入加油站周围的人员缺乏安全意识，乱扔烟头等可能对加油站造成火灾、爆炸等危险。</w:t>
      </w:r>
    </w:p>
    <w:p w14:paraId="36D11B93">
      <w:pPr>
        <w:adjustRightInd w:val="0"/>
        <w:snapToGrid w:val="0"/>
        <w:spacing w:line="500" w:lineRule="exact"/>
        <w:ind w:firstLine="560" w:firstLineChars="200"/>
        <w:rPr>
          <w:rFonts w:ascii="宋体" w:hAnsi="宋体"/>
          <w:sz w:val="28"/>
          <w:szCs w:val="28"/>
        </w:rPr>
      </w:pPr>
      <w:r>
        <w:rPr>
          <w:rFonts w:hint="eastAsia" w:ascii="宋体" w:hAnsi="宋体"/>
          <w:sz w:val="28"/>
          <w:szCs w:val="28"/>
        </w:rPr>
        <w:t>4.若进入加油站内车辆不按规定行驶，可能对加油站内其他车辆造成碰撞等危险，事故可能对加油站造成火灾、爆炸等危险。</w:t>
      </w:r>
    </w:p>
    <w:p w14:paraId="2E1FCA9B">
      <w:pPr>
        <w:spacing w:line="500" w:lineRule="exact"/>
        <w:ind w:firstLine="560" w:firstLineChars="200"/>
        <w:rPr>
          <w:rFonts w:ascii="宋体" w:hAnsi="宋体"/>
          <w:sz w:val="28"/>
          <w:szCs w:val="28"/>
        </w:rPr>
      </w:pPr>
      <w:r>
        <w:rPr>
          <w:rFonts w:ascii="宋体" w:hAnsi="宋体"/>
          <w:sz w:val="28"/>
          <w:szCs w:val="28"/>
        </w:rPr>
        <w:t>因此，周边环境可能会对</w:t>
      </w:r>
      <w:r>
        <w:rPr>
          <w:rFonts w:hint="eastAsia" w:ascii="宋体" w:hAnsi="宋体"/>
          <w:sz w:val="28"/>
          <w:szCs w:val="28"/>
        </w:rPr>
        <w:t>该</w:t>
      </w:r>
      <w:r>
        <w:rPr>
          <w:rFonts w:ascii="宋体" w:hAnsi="宋体"/>
          <w:sz w:val="28"/>
          <w:szCs w:val="28"/>
        </w:rPr>
        <w:t>加油站造成一定的影响</w:t>
      </w:r>
      <w:r>
        <w:rPr>
          <w:rFonts w:hint="eastAsia" w:ascii="宋体" w:hAnsi="宋体"/>
          <w:sz w:val="28"/>
          <w:szCs w:val="28"/>
        </w:rPr>
        <w:t>，但正常情况下影响较小</w:t>
      </w:r>
      <w:r>
        <w:rPr>
          <w:rFonts w:ascii="宋体" w:hAnsi="宋体"/>
          <w:sz w:val="28"/>
          <w:szCs w:val="28"/>
        </w:rPr>
        <w:t>。</w:t>
      </w:r>
    </w:p>
    <w:p w14:paraId="13C7B8DF">
      <w:pPr>
        <w:pStyle w:val="4"/>
        <w:spacing w:afterLines="100" w:line="500" w:lineRule="exact"/>
        <w:rPr>
          <w:rFonts w:ascii="黑体" w:hAnsi="宋体"/>
          <w:kern w:val="3"/>
          <w:sz w:val="28"/>
          <w:szCs w:val="28"/>
        </w:rPr>
      </w:pPr>
      <w:bookmarkStart w:id="446" w:name="_Toc71894938"/>
      <w:r>
        <w:rPr>
          <w:rFonts w:hint="eastAsia" w:ascii="黑体" w:hAnsi="宋体"/>
          <w:kern w:val="3"/>
          <w:sz w:val="28"/>
          <w:szCs w:val="28"/>
        </w:rPr>
        <w:t>6.1.4站址选择的符合性评价</w:t>
      </w:r>
      <w:bookmarkEnd w:id="446"/>
    </w:p>
    <w:p w14:paraId="4A9CCC94">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hint="eastAsia" w:ascii="宋体" w:hAnsi="宋体"/>
          <w:sz w:val="28"/>
        </w:rPr>
        <w:t>、《建筑设计防火规范（2018年版）》（GB50016-2014）</w:t>
      </w:r>
      <w:r>
        <w:rPr>
          <w:rFonts w:ascii="宋体" w:hAnsi="宋体"/>
          <w:sz w:val="28"/>
        </w:rPr>
        <w:t>等</w:t>
      </w:r>
      <w:r>
        <w:rPr>
          <w:rFonts w:hint="eastAsia" w:ascii="宋体" w:hAnsi="宋体"/>
          <w:sz w:val="28"/>
        </w:rPr>
        <w:t>标准、规范，对该加油站站址进行评价</w:t>
      </w:r>
      <w:r>
        <w:rPr>
          <w:rFonts w:ascii="宋体" w:hAnsi="宋体"/>
          <w:sz w:val="28"/>
        </w:rPr>
        <w:t>，具体情况见表</w:t>
      </w:r>
      <w:r>
        <w:rPr>
          <w:rFonts w:hint="eastAsia" w:ascii="宋体" w:hAnsi="宋体"/>
          <w:sz w:val="28"/>
        </w:rPr>
        <w:t>6-1</w:t>
      </w:r>
      <w:r>
        <w:rPr>
          <w:rFonts w:ascii="宋体" w:hAnsi="宋体"/>
          <w:sz w:val="28"/>
        </w:rPr>
        <w:t>。</w:t>
      </w:r>
    </w:p>
    <w:p w14:paraId="0E8FBC23">
      <w:pPr>
        <w:jc w:val="center"/>
        <w:rPr>
          <w:rFonts w:ascii="宋体" w:hAnsi="宋体"/>
          <w:bCs/>
          <w:sz w:val="28"/>
          <w:szCs w:val="28"/>
        </w:rPr>
      </w:pPr>
      <w:r>
        <w:rPr>
          <w:rFonts w:ascii="宋体" w:hAnsi="宋体"/>
          <w:bCs/>
          <w:sz w:val="28"/>
          <w:szCs w:val="28"/>
        </w:rPr>
        <w:t>表</w:t>
      </w:r>
      <w:r>
        <w:rPr>
          <w:rFonts w:hint="eastAsia" w:ascii="宋体" w:hAnsi="宋体"/>
          <w:bCs/>
          <w:sz w:val="28"/>
          <w:szCs w:val="28"/>
        </w:rPr>
        <w:t>6-1站址安全</w:t>
      </w:r>
      <w:r>
        <w:rPr>
          <w:rFonts w:ascii="宋体" w:hAnsi="宋体"/>
          <w:bCs/>
          <w:sz w:val="28"/>
          <w:szCs w:val="28"/>
        </w:rPr>
        <w:t>检查表</w:t>
      </w:r>
    </w:p>
    <w:tbl>
      <w:tblPr>
        <w:tblStyle w:val="3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880"/>
        <w:gridCol w:w="1800"/>
        <w:gridCol w:w="2658"/>
        <w:gridCol w:w="638"/>
      </w:tblGrid>
      <w:tr w14:paraId="31FC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2135444">
            <w:pPr>
              <w:spacing w:line="240" w:lineRule="exact"/>
              <w:jc w:val="center"/>
              <w:rPr>
                <w:rFonts w:ascii="宋体" w:hAnsi="宋体"/>
                <w:bCs/>
                <w:szCs w:val="21"/>
              </w:rPr>
            </w:pPr>
            <w:r>
              <w:rPr>
                <w:rFonts w:ascii="宋体" w:hAnsi="宋体"/>
                <w:bCs/>
                <w:szCs w:val="21"/>
              </w:rPr>
              <w:t>序号</w:t>
            </w:r>
          </w:p>
        </w:tc>
        <w:tc>
          <w:tcPr>
            <w:tcW w:w="2880" w:type="dxa"/>
            <w:tcBorders>
              <w:top w:val="single" w:color="auto" w:sz="4" w:space="0"/>
              <w:left w:val="single" w:color="auto" w:sz="4" w:space="0"/>
              <w:bottom w:val="single" w:color="auto" w:sz="4" w:space="0"/>
              <w:right w:val="single" w:color="auto" w:sz="4" w:space="0"/>
            </w:tcBorders>
            <w:vAlign w:val="center"/>
          </w:tcPr>
          <w:p w14:paraId="3DDB294A">
            <w:pPr>
              <w:spacing w:line="240" w:lineRule="exact"/>
              <w:jc w:val="center"/>
              <w:rPr>
                <w:rFonts w:ascii="宋体" w:hAnsi="宋体"/>
                <w:bCs/>
                <w:szCs w:val="21"/>
              </w:rPr>
            </w:pPr>
            <w:r>
              <w:rPr>
                <w:rFonts w:ascii="宋体" w:hAnsi="宋体"/>
                <w:bCs/>
                <w:szCs w:val="21"/>
              </w:rPr>
              <w:t>检查内容</w:t>
            </w:r>
          </w:p>
        </w:tc>
        <w:tc>
          <w:tcPr>
            <w:tcW w:w="1800" w:type="dxa"/>
            <w:tcBorders>
              <w:top w:val="single" w:color="auto" w:sz="4" w:space="0"/>
              <w:left w:val="single" w:color="auto" w:sz="4" w:space="0"/>
              <w:bottom w:val="single" w:color="auto" w:sz="4" w:space="0"/>
              <w:right w:val="single" w:color="auto" w:sz="4" w:space="0"/>
            </w:tcBorders>
            <w:vAlign w:val="center"/>
          </w:tcPr>
          <w:p w14:paraId="231258F3">
            <w:pPr>
              <w:spacing w:line="240" w:lineRule="exact"/>
              <w:jc w:val="center"/>
              <w:rPr>
                <w:rFonts w:ascii="宋体" w:hAnsi="宋体"/>
                <w:bCs/>
                <w:szCs w:val="21"/>
              </w:rPr>
            </w:pPr>
            <w:r>
              <w:rPr>
                <w:rFonts w:ascii="宋体" w:hAnsi="宋体"/>
                <w:bCs/>
                <w:szCs w:val="21"/>
              </w:rPr>
              <w:t>检查依据</w:t>
            </w:r>
          </w:p>
        </w:tc>
        <w:tc>
          <w:tcPr>
            <w:tcW w:w="2658" w:type="dxa"/>
            <w:tcBorders>
              <w:top w:val="single" w:color="auto" w:sz="4" w:space="0"/>
              <w:left w:val="single" w:color="auto" w:sz="4" w:space="0"/>
              <w:bottom w:val="single" w:color="auto" w:sz="4" w:space="0"/>
              <w:right w:val="single" w:color="auto" w:sz="4" w:space="0"/>
            </w:tcBorders>
            <w:vAlign w:val="center"/>
          </w:tcPr>
          <w:p w14:paraId="7EB19A55">
            <w:pPr>
              <w:spacing w:line="240" w:lineRule="exact"/>
              <w:jc w:val="center"/>
              <w:rPr>
                <w:rFonts w:ascii="宋体" w:hAnsi="宋体"/>
                <w:bCs/>
                <w:szCs w:val="21"/>
              </w:rPr>
            </w:pPr>
            <w:r>
              <w:rPr>
                <w:rFonts w:ascii="宋体" w:hAnsi="宋体"/>
                <w:bCs/>
                <w:szCs w:val="21"/>
              </w:rPr>
              <w:t>检查</w:t>
            </w:r>
            <w:r>
              <w:rPr>
                <w:rFonts w:hint="eastAsia" w:ascii="宋体" w:hAnsi="宋体"/>
                <w:bCs/>
                <w:szCs w:val="21"/>
              </w:rPr>
              <w:t>记录</w:t>
            </w:r>
          </w:p>
        </w:tc>
        <w:tc>
          <w:tcPr>
            <w:tcW w:w="638" w:type="dxa"/>
            <w:tcBorders>
              <w:top w:val="single" w:color="auto" w:sz="4" w:space="0"/>
              <w:left w:val="single" w:color="auto" w:sz="4" w:space="0"/>
              <w:bottom w:val="single" w:color="auto" w:sz="4" w:space="0"/>
              <w:right w:val="single" w:color="auto" w:sz="4" w:space="0"/>
            </w:tcBorders>
            <w:vAlign w:val="center"/>
          </w:tcPr>
          <w:p w14:paraId="30D1DF88">
            <w:pPr>
              <w:spacing w:line="240" w:lineRule="exact"/>
              <w:jc w:val="center"/>
              <w:rPr>
                <w:rFonts w:ascii="宋体" w:hAnsi="宋体"/>
                <w:bCs/>
                <w:szCs w:val="21"/>
              </w:rPr>
            </w:pPr>
            <w:r>
              <w:rPr>
                <w:rFonts w:hint="eastAsia" w:ascii="宋体" w:hAnsi="宋体"/>
                <w:bCs/>
                <w:szCs w:val="21"/>
              </w:rPr>
              <w:t>结论</w:t>
            </w:r>
          </w:p>
        </w:tc>
      </w:tr>
      <w:tr w14:paraId="3D88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38E9535">
            <w:pPr>
              <w:spacing w:line="240" w:lineRule="exact"/>
              <w:jc w:val="center"/>
              <w:rPr>
                <w:rFonts w:ascii="宋体" w:hAnsi="宋体"/>
                <w:szCs w:val="21"/>
              </w:rPr>
            </w:pPr>
            <w:r>
              <w:rPr>
                <w:rFonts w:ascii="宋体" w:hAnsi="宋体"/>
                <w:szCs w:val="21"/>
              </w:rPr>
              <w:t>1</w:t>
            </w:r>
          </w:p>
        </w:tc>
        <w:tc>
          <w:tcPr>
            <w:tcW w:w="2880" w:type="dxa"/>
            <w:tcBorders>
              <w:top w:val="single" w:color="auto" w:sz="4" w:space="0"/>
              <w:left w:val="single" w:color="auto" w:sz="4" w:space="0"/>
              <w:bottom w:val="single" w:color="auto" w:sz="4" w:space="0"/>
              <w:right w:val="single" w:color="auto" w:sz="4" w:space="0"/>
            </w:tcBorders>
            <w:vAlign w:val="center"/>
          </w:tcPr>
          <w:p w14:paraId="7B6D05F7">
            <w:pPr>
              <w:spacing w:line="240" w:lineRule="exact"/>
              <w:rPr>
                <w:rFonts w:ascii="宋体" w:hAnsi="宋体"/>
                <w:szCs w:val="21"/>
              </w:rPr>
            </w:pPr>
            <w:r>
              <w:rPr>
                <w:rFonts w:hint="eastAsia" w:ascii="宋体" w:hAnsi="宋体"/>
                <w:szCs w:val="21"/>
              </w:rPr>
              <w:t>汽车加油站的站址选择应符合有关规划、环境保护和防火安全的要求，并应选在交通便利、用户使用方便的地点。</w:t>
            </w:r>
          </w:p>
        </w:tc>
        <w:tc>
          <w:tcPr>
            <w:tcW w:w="1800" w:type="dxa"/>
            <w:tcBorders>
              <w:top w:val="single" w:color="auto" w:sz="4" w:space="0"/>
              <w:left w:val="single" w:color="auto" w:sz="4" w:space="0"/>
              <w:bottom w:val="single" w:color="auto" w:sz="4" w:space="0"/>
              <w:right w:val="single" w:color="auto" w:sz="4" w:space="0"/>
            </w:tcBorders>
            <w:vAlign w:val="center"/>
          </w:tcPr>
          <w:p w14:paraId="5EBA9BB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122B74A3">
            <w:pPr>
              <w:spacing w:line="240" w:lineRule="exact"/>
              <w:rPr>
                <w:rFonts w:ascii="宋体" w:hAnsi="宋体"/>
                <w:szCs w:val="21"/>
              </w:rPr>
            </w:pPr>
            <w:r>
              <w:rPr>
                <w:rFonts w:hint="eastAsia" w:ascii="宋体" w:hAnsi="宋体"/>
                <w:szCs w:val="21"/>
              </w:rPr>
              <w:t>选址合理</w:t>
            </w:r>
          </w:p>
        </w:tc>
        <w:tc>
          <w:tcPr>
            <w:tcW w:w="638" w:type="dxa"/>
            <w:tcBorders>
              <w:top w:val="single" w:color="auto" w:sz="4" w:space="0"/>
              <w:left w:val="single" w:color="auto" w:sz="4" w:space="0"/>
              <w:bottom w:val="single" w:color="auto" w:sz="4" w:space="0"/>
              <w:right w:val="single" w:color="auto" w:sz="4" w:space="0"/>
            </w:tcBorders>
            <w:vAlign w:val="center"/>
          </w:tcPr>
          <w:p w14:paraId="7922AE2B">
            <w:pPr>
              <w:spacing w:line="240" w:lineRule="exact"/>
              <w:jc w:val="center"/>
              <w:rPr>
                <w:rFonts w:ascii="宋体" w:hAnsi="宋体"/>
                <w:szCs w:val="21"/>
              </w:rPr>
            </w:pPr>
            <w:r>
              <w:rPr>
                <w:rFonts w:hint="eastAsia" w:ascii="宋体" w:hAnsi="宋体"/>
                <w:szCs w:val="21"/>
              </w:rPr>
              <w:t>符合</w:t>
            </w:r>
          </w:p>
        </w:tc>
      </w:tr>
      <w:tr w14:paraId="7F4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5A88496">
            <w:pPr>
              <w:spacing w:line="240" w:lineRule="exact"/>
              <w:jc w:val="center"/>
              <w:rPr>
                <w:rFonts w:ascii="宋体" w:hAnsi="宋体"/>
                <w:szCs w:val="21"/>
              </w:rPr>
            </w:pPr>
            <w:r>
              <w:rPr>
                <w:rFonts w:hint="eastAsia" w:ascii="宋体" w:hAnsi="宋体"/>
                <w:szCs w:val="21"/>
              </w:rPr>
              <w:t>2</w:t>
            </w:r>
          </w:p>
        </w:tc>
        <w:tc>
          <w:tcPr>
            <w:tcW w:w="2880" w:type="dxa"/>
            <w:tcBorders>
              <w:top w:val="single" w:color="auto" w:sz="4" w:space="0"/>
              <w:left w:val="single" w:color="auto" w:sz="4" w:space="0"/>
              <w:bottom w:val="single" w:color="auto" w:sz="4" w:space="0"/>
              <w:right w:val="single" w:color="auto" w:sz="4" w:space="0"/>
            </w:tcBorders>
            <w:vAlign w:val="center"/>
          </w:tcPr>
          <w:p w14:paraId="61865044">
            <w:pPr>
              <w:spacing w:line="240" w:lineRule="exact"/>
              <w:rPr>
                <w:rFonts w:ascii="宋体" w:hAnsi="宋体"/>
                <w:szCs w:val="21"/>
              </w:rPr>
            </w:pPr>
            <w:r>
              <w:rPr>
                <w:rFonts w:hint="eastAsia" w:ascii="宋体" w:hAnsi="宋体"/>
                <w:szCs w:val="21"/>
              </w:rPr>
              <w:t>在城市中心区不应减一级汽车加油加气加氢站。</w:t>
            </w:r>
          </w:p>
        </w:tc>
        <w:tc>
          <w:tcPr>
            <w:tcW w:w="1800" w:type="dxa"/>
            <w:tcBorders>
              <w:top w:val="single" w:color="auto" w:sz="4" w:space="0"/>
              <w:left w:val="single" w:color="auto" w:sz="4" w:space="0"/>
              <w:bottom w:val="single" w:color="auto" w:sz="4" w:space="0"/>
              <w:right w:val="single" w:color="auto" w:sz="4" w:space="0"/>
            </w:tcBorders>
            <w:vAlign w:val="center"/>
          </w:tcPr>
          <w:p w14:paraId="416FFD77">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391B2A30">
            <w:pPr>
              <w:spacing w:line="240" w:lineRule="exact"/>
              <w:rPr>
                <w:rFonts w:ascii="宋体" w:hAnsi="宋体"/>
                <w:szCs w:val="21"/>
              </w:rPr>
            </w:pPr>
            <w:r>
              <w:rPr>
                <w:rFonts w:hint="eastAsia" w:ascii="宋体" w:hAnsi="宋体"/>
                <w:szCs w:val="21"/>
                <w:lang w:val="en-US" w:eastAsia="zh-CN"/>
              </w:rPr>
              <w:t>三</w:t>
            </w:r>
            <w:r>
              <w:rPr>
                <w:rFonts w:hint="eastAsia" w:ascii="宋体" w:hAnsi="宋体"/>
                <w:szCs w:val="21"/>
              </w:rPr>
              <w:t>级站，且不在城市中心区</w:t>
            </w:r>
          </w:p>
        </w:tc>
        <w:tc>
          <w:tcPr>
            <w:tcW w:w="638" w:type="dxa"/>
            <w:tcBorders>
              <w:top w:val="single" w:color="auto" w:sz="4" w:space="0"/>
              <w:left w:val="single" w:color="auto" w:sz="4" w:space="0"/>
              <w:bottom w:val="single" w:color="auto" w:sz="4" w:space="0"/>
              <w:right w:val="single" w:color="auto" w:sz="4" w:space="0"/>
            </w:tcBorders>
            <w:vAlign w:val="center"/>
          </w:tcPr>
          <w:p w14:paraId="38101A83">
            <w:pPr>
              <w:spacing w:line="240" w:lineRule="exact"/>
              <w:jc w:val="center"/>
              <w:rPr>
                <w:rFonts w:ascii="宋体" w:hAnsi="宋体"/>
                <w:szCs w:val="21"/>
              </w:rPr>
            </w:pPr>
            <w:r>
              <w:rPr>
                <w:rFonts w:hint="eastAsia" w:ascii="宋体" w:hAnsi="宋体"/>
                <w:szCs w:val="21"/>
              </w:rPr>
              <w:t>符合</w:t>
            </w:r>
          </w:p>
        </w:tc>
      </w:tr>
      <w:tr w14:paraId="09F3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0E7C217">
            <w:pPr>
              <w:spacing w:line="240" w:lineRule="exact"/>
              <w:jc w:val="center"/>
              <w:rPr>
                <w:rFonts w:ascii="宋体" w:hAnsi="宋体"/>
                <w:szCs w:val="21"/>
              </w:rPr>
            </w:pPr>
            <w:r>
              <w:rPr>
                <w:rFonts w:hint="eastAsia" w:ascii="宋体" w:hAnsi="宋体"/>
                <w:szCs w:val="21"/>
              </w:rPr>
              <w:t>3</w:t>
            </w:r>
          </w:p>
        </w:tc>
        <w:tc>
          <w:tcPr>
            <w:tcW w:w="2880" w:type="dxa"/>
            <w:tcBorders>
              <w:top w:val="single" w:color="auto" w:sz="4" w:space="0"/>
              <w:left w:val="single" w:color="auto" w:sz="4" w:space="0"/>
              <w:bottom w:val="single" w:color="auto" w:sz="4" w:space="0"/>
              <w:right w:val="single" w:color="auto" w:sz="4" w:space="0"/>
            </w:tcBorders>
            <w:vAlign w:val="center"/>
          </w:tcPr>
          <w:p w14:paraId="6164FD82">
            <w:pPr>
              <w:spacing w:line="240" w:lineRule="exact"/>
              <w:rPr>
                <w:rFonts w:ascii="宋体" w:hAnsi="宋体"/>
                <w:szCs w:val="21"/>
              </w:rPr>
            </w:pPr>
            <w:r>
              <w:rPr>
                <w:rFonts w:hint="eastAsia" w:ascii="宋体" w:hAnsi="宋体"/>
                <w:szCs w:val="21"/>
              </w:rPr>
              <w:t>城市建成区内的汽车加油加气加氢站宜靠近城市道路，但不宜选在城市干道的交叉路口附近。</w:t>
            </w:r>
          </w:p>
        </w:tc>
        <w:tc>
          <w:tcPr>
            <w:tcW w:w="1800" w:type="dxa"/>
            <w:tcBorders>
              <w:top w:val="single" w:color="auto" w:sz="4" w:space="0"/>
              <w:left w:val="single" w:color="auto" w:sz="4" w:space="0"/>
              <w:bottom w:val="single" w:color="auto" w:sz="4" w:space="0"/>
              <w:right w:val="single" w:color="auto" w:sz="4" w:space="0"/>
            </w:tcBorders>
            <w:vAlign w:val="center"/>
          </w:tcPr>
          <w:p w14:paraId="395152B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66B3CFB1">
            <w:pPr>
              <w:spacing w:line="240" w:lineRule="exact"/>
              <w:rPr>
                <w:rFonts w:ascii="宋体" w:hAnsi="宋体"/>
                <w:szCs w:val="21"/>
              </w:rPr>
            </w:pPr>
            <w:r>
              <w:rPr>
                <w:rFonts w:hint="eastAsia" w:ascii="宋体" w:hAnsi="宋体"/>
                <w:szCs w:val="21"/>
              </w:rPr>
              <w:t>不在城市干道交叉路口</w:t>
            </w:r>
          </w:p>
        </w:tc>
        <w:tc>
          <w:tcPr>
            <w:tcW w:w="638" w:type="dxa"/>
            <w:tcBorders>
              <w:top w:val="single" w:color="auto" w:sz="4" w:space="0"/>
              <w:left w:val="single" w:color="auto" w:sz="4" w:space="0"/>
              <w:bottom w:val="single" w:color="auto" w:sz="4" w:space="0"/>
              <w:right w:val="single" w:color="auto" w:sz="4" w:space="0"/>
            </w:tcBorders>
            <w:vAlign w:val="center"/>
          </w:tcPr>
          <w:p w14:paraId="1E5F573B">
            <w:pPr>
              <w:spacing w:line="240" w:lineRule="exact"/>
              <w:jc w:val="center"/>
              <w:rPr>
                <w:rFonts w:ascii="宋体" w:hAnsi="宋体"/>
                <w:szCs w:val="21"/>
              </w:rPr>
            </w:pPr>
            <w:r>
              <w:rPr>
                <w:rFonts w:hint="eastAsia" w:ascii="宋体" w:hAnsi="宋体"/>
                <w:szCs w:val="21"/>
              </w:rPr>
              <w:t>符合</w:t>
            </w:r>
          </w:p>
        </w:tc>
      </w:tr>
      <w:tr w14:paraId="5E29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495D9608">
            <w:pPr>
              <w:spacing w:line="240" w:lineRule="exact"/>
              <w:jc w:val="center"/>
              <w:rPr>
                <w:rFonts w:hint="eastAsia" w:ascii="宋体" w:hAnsi="宋体" w:eastAsia="宋体"/>
                <w:szCs w:val="21"/>
                <w:lang w:eastAsia="zh-CN"/>
              </w:rPr>
            </w:pPr>
            <w:r>
              <w:rPr>
                <w:rFonts w:hint="eastAsia" w:ascii="宋体" w:hAnsi="宋体"/>
                <w:szCs w:val="21"/>
                <w:lang w:val="en-US" w:eastAsia="zh-CN"/>
              </w:rPr>
              <w:t>4</w:t>
            </w:r>
          </w:p>
        </w:tc>
        <w:tc>
          <w:tcPr>
            <w:tcW w:w="2880" w:type="dxa"/>
            <w:tcBorders>
              <w:top w:val="single" w:color="auto" w:sz="4" w:space="0"/>
              <w:left w:val="single" w:color="auto" w:sz="4" w:space="0"/>
              <w:bottom w:val="single" w:color="auto" w:sz="4" w:space="0"/>
              <w:right w:val="single" w:color="auto" w:sz="4" w:space="0"/>
            </w:tcBorders>
            <w:vAlign w:val="center"/>
          </w:tcPr>
          <w:p w14:paraId="1C80FAD4">
            <w:pPr>
              <w:spacing w:line="240" w:lineRule="exact"/>
              <w:rPr>
                <w:rFonts w:ascii="宋体" w:hAnsi="宋体"/>
                <w:szCs w:val="21"/>
              </w:rPr>
            </w:pPr>
            <w:r>
              <w:rPr>
                <w:rFonts w:ascii="宋体" w:hAnsi="宋体"/>
                <w:szCs w:val="21"/>
              </w:rPr>
              <w:t>选择厂址应充分考虑地震、软地基、湿陷性黄土、膨胀土等地质因素以及飓风、雷暴、沙暴等气象危害，采取可靠技术方案，避开断层、滑波、泥石流、地下溶洞等比较发育的地区。</w:t>
            </w:r>
          </w:p>
        </w:tc>
        <w:tc>
          <w:tcPr>
            <w:tcW w:w="1800" w:type="dxa"/>
            <w:tcBorders>
              <w:top w:val="single" w:color="auto" w:sz="4" w:space="0"/>
              <w:left w:val="single" w:color="auto" w:sz="4" w:space="0"/>
              <w:bottom w:val="single" w:color="auto" w:sz="4" w:space="0"/>
              <w:right w:val="single" w:color="auto" w:sz="4" w:space="0"/>
            </w:tcBorders>
            <w:vAlign w:val="center"/>
          </w:tcPr>
          <w:p w14:paraId="1FA4A8CC">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5BFF29FF">
            <w:pPr>
              <w:spacing w:line="240" w:lineRule="exact"/>
              <w:rPr>
                <w:rFonts w:ascii="宋体" w:hAnsi="宋体"/>
                <w:szCs w:val="21"/>
              </w:rPr>
            </w:pPr>
            <w:r>
              <w:rPr>
                <w:rFonts w:hint="eastAsia" w:ascii="宋体" w:hAnsi="宋体"/>
                <w:szCs w:val="21"/>
              </w:rPr>
              <w:t>根据负责人员介绍及现场观察，该加油站所在地无软地基、湿陷性黄土、膨胀土等地质因素。</w:t>
            </w:r>
          </w:p>
        </w:tc>
        <w:tc>
          <w:tcPr>
            <w:tcW w:w="638" w:type="dxa"/>
            <w:tcBorders>
              <w:top w:val="single" w:color="auto" w:sz="4" w:space="0"/>
              <w:left w:val="single" w:color="auto" w:sz="4" w:space="0"/>
              <w:bottom w:val="single" w:color="auto" w:sz="4" w:space="0"/>
              <w:right w:val="single" w:color="auto" w:sz="4" w:space="0"/>
            </w:tcBorders>
            <w:vAlign w:val="center"/>
          </w:tcPr>
          <w:p w14:paraId="625650B4">
            <w:pPr>
              <w:spacing w:line="240" w:lineRule="exact"/>
              <w:jc w:val="center"/>
              <w:rPr>
                <w:rFonts w:ascii="宋体" w:hAnsi="宋体"/>
                <w:szCs w:val="21"/>
              </w:rPr>
            </w:pPr>
            <w:r>
              <w:rPr>
                <w:rFonts w:hint="eastAsia" w:ascii="宋体" w:hAnsi="宋体"/>
                <w:szCs w:val="21"/>
              </w:rPr>
              <w:t>符合</w:t>
            </w:r>
          </w:p>
        </w:tc>
      </w:tr>
      <w:tr w14:paraId="0C94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187D05EE">
            <w:pPr>
              <w:spacing w:line="240" w:lineRule="exact"/>
              <w:jc w:val="center"/>
              <w:rPr>
                <w:rFonts w:hint="eastAsia" w:ascii="宋体" w:hAnsi="宋体" w:eastAsia="宋体"/>
                <w:szCs w:val="21"/>
                <w:lang w:eastAsia="zh-CN"/>
              </w:rPr>
            </w:pPr>
            <w:r>
              <w:rPr>
                <w:rFonts w:hint="eastAsia" w:ascii="宋体" w:hAnsi="宋体"/>
                <w:szCs w:val="21"/>
                <w:lang w:val="en-US" w:eastAsia="zh-CN"/>
              </w:rPr>
              <w:t>5</w:t>
            </w:r>
          </w:p>
        </w:tc>
        <w:tc>
          <w:tcPr>
            <w:tcW w:w="2880" w:type="dxa"/>
            <w:tcBorders>
              <w:top w:val="single" w:color="auto" w:sz="4" w:space="0"/>
              <w:left w:val="single" w:color="auto" w:sz="4" w:space="0"/>
              <w:bottom w:val="single" w:color="auto" w:sz="4" w:space="0"/>
              <w:right w:val="single" w:color="auto" w:sz="4" w:space="0"/>
            </w:tcBorders>
            <w:vAlign w:val="center"/>
          </w:tcPr>
          <w:p w14:paraId="20E15F17">
            <w:pPr>
              <w:spacing w:line="240" w:lineRule="exact"/>
              <w:rPr>
                <w:rFonts w:ascii="宋体" w:hAnsi="宋体"/>
                <w:szCs w:val="21"/>
              </w:rPr>
            </w:pPr>
            <w:r>
              <w:rPr>
                <w:rFonts w:ascii="宋体" w:hAnsi="宋体"/>
                <w:szCs w:val="21"/>
              </w:rPr>
              <w:t>厂址应不受洪水、潮水和内涝的威胁。凡可能受江、河、湖、海或山洪威胁的化工企业场地高程设计，应符合国家《防洪标准》的有关规定，并采取有效的防洪、排涝措施。</w:t>
            </w:r>
          </w:p>
        </w:tc>
        <w:tc>
          <w:tcPr>
            <w:tcW w:w="1800" w:type="dxa"/>
            <w:tcBorders>
              <w:top w:val="single" w:color="auto" w:sz="4" w:space="0"/>
              <w:left w:val="single" w:color="auto" w:sz="4" w:space="0"/>
              <w:bottom w:val="single" w:color="auto" w:sz="4" w:space="0"/>
              <w:right w:val="single" w:color="auto" w:sz="4" w:space="0"/>
            </w:tcBorders>
            <w:vAlign w:val="center"/>
          </w:tcPr>
          <w:p w14:paraId="144ADDDD">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C6F4DAA">
            <w:pPr>
              <w:spacing w:line="240" w:lineRule="exact"/>
              <w:rPr>
                <w:rFonts w:ascii="宋体" w:hAnsi="宋体"/>
                <w:szCs w:val="21"/>
              </w:rPr>
            </w:pPr>
            <w:r>
              <w:rPr>
                <w:rFonts w:hint="eastAsia" w:ascii="宋体" w:hAnsi="宋体"/>
                <w:szCs w:val="21"/>
              </w:rPr>
              <w:t>根据负责人员现场介绍及现场检查情况，该加油站不受</w:t>
            </w:r>
            <w:r>
              <w:rPr>
                <w:rFonts w:ascii="宋体" w:hAnsi="宋体"/>
                <w:szCs w:val="21"/>
              </w:rPr>
              <w:t>防洪、排涝</w:t>
            </w:r>
            <w:r>
              <w:rPr>
                <w:rFonts w:hint="eastAsia" w:ascii="宋体" w:hAnsi="宋体"/>
                <w:szCs w:val="21"/>
              </w:rPr>
              <w:t>的威胁。</w:t>
            </w:r>
          </w:p>
        </w:tc>
        <w:tc>
          <w:tcPr>
            <w:tcW w:w="638" w:type="dxa"/>
            <w:tcBorders>
              <w:top w:val="single" w:color="auto" w:sz="4" w:space="0"/>
              <w:left w:val="single" w:color="auto" w:sz="4" w:space="0"/>
              <w:bottom w:val="single" w:color="auto" w:sz="4" w:space="0"/>
              <w:right w:val="single" w:color="auto" w:sz="4" w:space="0"/>
            </w:tcBorders>
            <w:vAlign w:val="center"/>
          </w:tcPr>
          <w:p w14:paraId="00FEDE2B">
            <w:pPr>
              <w:spacing w:line="240" w:lineRule="exact"/>
              <w:jc w:val="center"/>
              <w:rPr>
                <w:rFonts w:ascii="宋体" w:hAnsi="宋体"/>
                <w:szCs w:val="21"/>
              </w:rPr>
            </w:pPr>
            <w:r>
              <w:rPr>
                <w:rFonts w:hint="eastAsia" w:ascii="宋体" w:hAnsi="宋体"/>
                <w:szCs w:val="21"/>
              </w:rPr>
              <w:t>符合</w:t>
            </w:r>
          </w:p>
        </w:tc>
      </w:tr>
      <w:tr w14:paraId="4604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206DB8D">
            <w:pPr>
              <w:spacing w:line="240" w:lineRule="exact"/>
              <w:jc w:val="center"/>
              <w:rPr>
                <w:rFonts w:hint="eastAsia" w:ascii="宋体" w:hAnsi="宋体" w:eastAsia="宋体"/>
                <w:szCs w:val="21"/>
                <w:lang w:eastAsia="zh-CN"/>
              </w:rPr>
            </w:pPr>
            <w:r>
              <w:rPr>
                <w:rFonts w:hint="eastAsia" w:ascii="宋体" w:hAnsi="宋体"/>
                <w:szCs w:val="21"/>
                <w:lang w:val="en-US" w:eastAsia="zh-CN"/>
              </w:rPr>
              <w:t>6</w:t>
            </w:r>
          </w:p>
        </w:tc>
        <w:tc>
          <w:tcPr>
            <w:tcW w:w="2880" w:type="dxa"/>
            <w:tcBorders>
              <w:top w:val="single" w:color="auto" w:sz="4" w:space="0"/>
              <w:left w:val="single" w:color="auto" w:sz="4" w:space="0"/>
              <w:bottom w:val="single" w:color="auto" w:sz="4" w:space="0"/>
              <w:right w:val="single" w:color="auto" w:sz="4" w:space="0"/>
            </w:tcBorders>
            <w:vAlign w:val="center"/>
          </w:tcPr>
          <w:p w14:paraId="280DA5BC">
            <w:pPr>
              <w:spacing w:line="240" w:lineRule="exact"/>
              <w:rPr>
                <w:rFonts w:ascii="宋体" w:hAnsi="宋体"/>
                <w:szCs w:val="21"/>
              </w:rPr>
            </w:pPr>
            <w:r>
              <w:rPr>
                <w:rFonts w:ascii="宋体" w:hAnsi="宋体"/>
                <w:szCs w:val="21"/>
              </w:rPr>
              <w:t>厂址应避开新旧矿产采掘区、水坝（或大堤）溃决后可能淹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地区、地方病严重流行区、国家及省市级文物保护区，并与航空站、气象站、体育中心、文化中心保持有关标准或规范所规定的安全距离。</w:t>
            </w:r>
          </w:p>
        </w:tc>
        <w:tc>
          <w:tcPr>
            <w:tcW w:w="1800" w:type="dxa"/>
            <w:tcBorders>
              <w:top w:val="single" w:color="auto" w:sz="4" w:space="0"/>
              <w:left w:val="single" w:color="auto" w:sz="4" w:space="0"/>
              <w:bottom w:val="single" w:color="auto" w:sz="4" w:space="0"/>
              <w:right w:val="single" w:color="auto" w:sz="4" w:space="0"/>
            </w:tcBorders>
            <w:vAlign w:val="center"/>
          </w:tcPr>
          <w:p w14:paraId="2349AF94">
            <w:pPr>
              <w:spacing w:line="240" w:lineRule="exact"/>
              <w:jc w:val="center"/>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85A0ADA">
            <w:pPr>
              <w:spacing w:line="240" w:lineRule="exact"/>
              <w:rPr>
                <w:rFonts w:ascii="宋体" w:hAnsi="宋体"/>
                <w:szCs w:val="21"/>
              </w:rPr>
            </w:pPr>
            <w:r>
              <w:rPr>
                <w:rFonts w:hint="eastAsia" w:ascii="宋体" w:hAnsi="宋体"/>
                <w:snapToGrid w:val="0"/>
                <w:kern w:val="0"/>
                <w:szCs w:val="21"/>
              </w:rPr>
              <w:t>该加油站周边无新旧矿产采掘区、</w:t>
            </w:r>
            <w:r>
              <w:rPr>
                <w:rFonts w:ascii="宋体" w:hAnsi="宋体"/>
                <w:szCs w:val="21"/>
              </w:rPr>
              <w:t>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w:t>
            </w:r>
            <w:r>
              <w:rPr>
                <w:rFonts w:hint="eastAsia" w:ascii="宋体" w:hAnsi="宋体"/>
                <w:szCs w:val="21"/>
              </w:rPr>
              <w:t>等，处于相对独立的安全地带。</w:t>
            </w:r>
          </w:p>
        </w:tc>
        <w:tc>
          <w:tcPr>
            <w:tcW w:w="638" w:type="dxa"/>
            <w:tcBorders>
              <w:top w:val="single" w:color="auto" w:sz="4" w:space="0"/>
              <w:left w:val="single" w:color="auto" w:sz="4" w:space="0"/>
              <w:bottom w:val="single" w:color="auto" w:sz="4" w:space="0"/>
              <w:right w:val="single" w:color="auto" w:sz="4" w:space="0"/>
            </w:tcBorders>
            <w:vAlign w:val="center"/>
          </w:tcPr>
          <w:p w14:paraId="5678F60B">
            <w:pPr>
              <w:spacing w:line="240" w:lineRule="exact"/>
              <w:jc w:val="center"/>
              <w:rPr>
                <w:rFonts w:ascii="宋体" w:hAnsi="宋体"/>
                <w:szCs w:val="21"/>
              </w:rPr>
            </w:pPr>
            <w:r>
              <w:rPr>
                <w:rFonts w:hint="eastAsia" w:ascii="宋体" w:hAnsi="宋体"/>
                <w:szCs w:val="21"/>
              </w:rPr>
              <w:t>符合</w:t>
            </w:r>
          </w:p>
        </w:tc>
      </w:tr>
      <w:tr w14:paraId="0736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02A964D1">
            <w:pPr>
              <w:spacing w:line="240" w:lineRule="exact"/>
              <w:jc w:val="center"/>
              <w:rPr>
                <w:rFonts w:hint="eastAsia" w:ascii="宋体" w:hAnsi="宋体" w:eastAsia="宋体"/>
                <w:szCs w:val="21"/>
                <w:lang w:eastAsia="zh-CN"/>
              </w:rPr>
            </w:pPr>
            <w:r>
              <w:rPr>
                <w:rFonts w:hint="eastAsia" w:ascii="宋体" w:hAnsi="宋体"/>
                <w:szCs w:val="21"/>
                <w:lang w:val="en-US" w:eastAsia="zh-CN"/>
              </w:rPr>
              <w:t>7</w:t>
            </w:r>
          </w:p>
        </w:tc>
        <w:tc>
          <w:tcPr>
            <w:tcW w:w="2880" w:type="dxa"/>
            <w:tcBorders>
              <w:top w:val="single" w:color="auto" w:sz="4" w:space="0"/>
              <w:left w:val="single" w:color="auto" w:sz="4" w:space="0"/>
              <w:bottom w:val="single" w:color="auto" w:sz="4" w:space="0"/>
              <w:right w:val="single" w:color="auto" w:sz="4" w:space="0"/>
            </w:tcBorders>
            <w:vAlign w:val="center"/>
          </w:tcPr>
          <w:p w14:paraId="7BC4F6EC">
            <w:pPr>
              <w:spacing w:line="240" w:lineRule="exact"/>
              <w:rPr>
                <w:rFonts w:ascii="宋体" w:hAnsi="宋体"/>
                <w:szCs w:val="21"/>
              </w:rPr>
            </w:pPr>
            <w:r>
              <w:rPr>
                <w:rFonts w:ascii="宋体" w:hAnsi="宋体"/>
                <w:szCs w:val="21"/>
              </w:rPr>
              <w:t>甲、乙、丙类液体储罐区，液化石油气储罐区，可燃、助燃气体储罐区，可燃材料堆场等，应设置在城市（区域）的边缘或相对独立的安全地带。</w:t>
            </w:r>
          </w:p>
        </w:tc>
        <w:tc>
          <w:tcPr>
            <w:tcW w:w="1800" w:type="dxa"/>
            <w:tcBorders>
              <w:top w:val="single" w:color="auto" w:sz="4" w:space="0"/>
              <w:left w:val="single" w:color="auto" w:sz="4" w:space="0"/>
              <w:bottom w:val="single" w:color="auto" w:sz="4" w:space="0"/>
              <w:right w:val="single" w:color="auto" w:sz="4" w:space="0"/>
            </w:tcBorders>
            <w:vAlign w:val="center"/>
          </w:tcPr>
          <w:p w14:paraId="38985CDD">
            <w:pPr>
              <w:spacing w:line="240" w:lineRule="exact"/>
              <w:jc w:val="left"/>
              <w:rPr>
                <w:rFonts w:ascii="宋体" w:hAnsi="宋体"/>
                <w:szCs w:val="21"/>
              </w:rPr>
            </w:pPr>
            <w:r>
              <w:rPr>
                <w:rFonts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37D51C00">
            <w:pPr>
              <w:spacing w:line="240" w:lineRule="exact"/>
              <w:rPr>
                <w:rFonts w:ascii="宋体" w:hAnsi="宋体"/>
                <w:szCs w:val="21"/>
              </w:rPr>
            </w:pPr>
            <w:r>
              <w:rPr>
                <w:rFonts w:hint="eastAsia" w:ascii="宋体" w:hAnsi="宋体"/>
                <w:szCs w:val="21"/>
              </w:rPr>
              <w:t>位于</w:t>
            </w:r>
            <w:r>
              <w:rPr>
                <w:rFonts w:hint="eastAsia" w:ascii="宋体" w:hAnsi="宋体"/>
                <w:szCs w:val="21"/>
                <w:lang w:val="en-US" w:eastAsia="zh-CN"/>
              </w:rPr>
              <w:t>乡村</w:t>
            </w:r>
            <w:r>
              <w:rPr>
                <w:rFonts w:hint="eastAsia" w:ascii="宋体" w:hAnsi="宋体"/>
                <w:szCs w:val="21"/>
              </w:rPr>
              <w:t>，但在</w:t>
            </w:r>
            <w:r>
              <w:rPr>
                <w:rFonts w:ascii="宋体" w:hAnsi="宋体"/>
                <w:szCs w:val="21"/>
              </w:rPr>
              <w:t>相对独立的安全地带</w:t>
            </w:r>
            <w:r>
              <w:rPr>
                <w:rFonts w:hint="eastAsia" w:ascii="宋体" w:hAnsi="宋体"/>
                <w:szCs w:val="21"/>
              </w:rPr>
              <w:t>。</w:t>
            </w:r>
          </w:p>
        </w:tc>
        <w:tc>
          <w:tcPr>
            <w:tcW w:w="638" w:type="dxa"/>
            <w:tcBorders>
              <w:top w:val="single" w:color="auto" w:sz="4" w:space="0"/>
              <w:left w:val="single" w:color="auto" w:sz="4" w:space="0"/>
              <w:bottom w:val="single" w:color="auto" w:sz="4" w:space="0"/>
              <w:right w:val="single" w:color="auto" w:sz="4" w:space="0"/>
            </w:tcBorders>
            <w:vAlign w:val="center"/>
          </w:tcPr>
          <w:p w14:paraId="658F8306">
            <w:pPr>
              <w:spacing w:line="240" w:lineRule="exact"/>
              <w:jc w:val="center"/>
              <w:rPr>
                <w:rFonts w:ascii="宋体" w:hAnsi="宋体"/>
                <w:szCs w:val="21"/>
              </w:rPr>
            </w:pPr>
            <w:r>
              <w:rPr>
                <w:rFonts w:hint="eastAsia" w:ascii="宋体" w:hAnsi="宋体"/>
                <w:szCs w:val="21"/>
              </w:rPr>
              <w:t>符合</w:t>
            </w:r>
          </w:p>
        </w:tc>
      </w:tr>
    </w:tbl>
    <w:p w14:paraId="143A9A8D">
      <w:pPr>
        <w:ind w:firstLine="560" w:firstLineChars="200"/>
        <w:rPr>
          <w:rFonts w:ascii="宋体" w:hAnsi="宋体"/>
          <w:sz w:val="28"/>
        </w:rPr>
      </w:pPr>
      <w:r>
        <w:rPr>
          <w:rFonts w:hint="eastAsia" w:ascii="宋体" w:hAnsi="宋体"/>
          <w:sz w:val="28"/>
        </w:rPr>
        <w:t>由上表可知：该加油站的站址符合</w:t>
      </w:r>
      <w:r>
        <w:rPr>
          <w:rFonts w:hint="eastAsia" w:ascii="新宋体" w:hAnsi="新宋体" w:eastAsia="新宋体"/>
          <w:snapToGrid w:val="0"/>
          <w:sz w:val="28"/>
          <w:szCs w:val="28"/>
        </w:rPr>
        <w:t>《汽车加油加气加氢站技术标准》（GB50156-2021）</w:t>
      </w:r>
      <w:r>
        <w:rPr>
          <w:rFonts w:hint="eastAsia" w:ascii="宋体" w:hAnsi="宋体"/>
          <w:sz w:val="28"/>
        </w:rPr>
        <w:t>等相关规范</w:t>
      </w:r>
      <w:r>
        <w:rPr>
          <w:rFonts w:ascii="宋体" w:hAnsi="宋体"/>
          <w:sz w:val="28"/>
        </w:rPr>
        <w:t>的</w:t>
      </w:r>
      <w:r>
        <w:rPr>
          <w:rFonts w:hint="eastAsia" w:ascii="宋体" w:hAnsi="宋体"/>
          <w:sz w:val="28"/>
        </w:rPr>
        <w:t>要求</w:t>
      </w:r>
      <w:r>
        <w:rPr>
          <w:rFonts w:ascii="宋体" w:hAnsi="宋体"/>
          <w:sz w:val="28"/>
        </w:rPr>
        <w:t>。</w:t>
      </w:r>
    </w:p>
    <w:p w14:paraId="172233AD">
      <w:pPr>
        <w:pStyle w:val="4"/>
        <w:spacing w:afterLines="100" w:line="500" w:lineRule="exact"/>
        <w:rPr>
          <w:rFonts w:ascii="黑体" w:hAnsi="宋体"/>
          <w:kern w:val="3"/>
          <w:sz w:val="28"/>
          <w:szCs w:val="28"/>
        </w:rPr>
      </w:pPr>
      <w:bookmarkStart w:id="447" w:name="_Toc71894939"/>
      <w:r>
        <w:rPr>
          <w:rFonts w:hint="eastAsia" w:ascii="黑体" w:hAnsi="宋体"/>
          <w:kern w:val="3"/>
          <w:sz w:val="28"/>
          <w:szCs w:val="28"/>
        </w:rPr>
        <w:t>6.1.5站外建、构筑物防火距离</w:t>
      </w:r>
      <w:bookmarkEnd w:id="447"/>
    </w:p>
    <w:p w14:paraId="4400DF38">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的相关规定，对该加油站站外建</w:t>
      </w:r>
      <w:r>
        <w:rPr>
          <w:rFonts w:hint="eastAsia" w:ascii="宋体" w:hAnsi="宋体"/>
          <w:sz w:val="28"/>
        </w:rPr>
        <w:t>（</w:t>
      </w:r>
      <w:r>
        <w:rPr>
          <w:rFonts w:ascii="宋体" w:hAnsi="宋体"/>
          <w:sz w:val="28"/>
        </w:rPr>
        <w:t>构</w:t>
      </w:r>
      <w:r>
        <w:rPr>
          <w:rFonts w:hint="eastAsia" w:ascii="宋体" w:hAnsi="宋体"/>
          <w:sz w:val="28"/>
        </w:rPr>
        <w:t>）</w:t>
      </w:r>
      <w:r>
        <w:rPr>
          <w:rFonts w:ascii="宋体" w:hAnsi="宋体"/>
          <w:sz w:val="28"/>
        </w:rPr>
        <w:t>筑物防火距离进行安全检查。</w:t>
      </w:r>
    </w:p>
    <w:p w14:paraId="60D9FBCD">
      <w:pPr>
        <w:jc w:val="center"/>
        <w:rPr>
          <w:rFonts w:ascii="宋体" w:hAnsi="宋体"/>
          <w:bCs/>
          <w:color w:val="000000"/>
          <w:sz w:val="28"/>
          <w:szCs w:val="28"/>
        </w:rPr>
      </w:pPr>
      <w:bookmarkStart w:id="448" w:name="_Toc329338161"/>
      <w:bookmarkStart w:id="449" w:name="_Toc270750447"/>
      <w:bookmarkStart w:id="450" w:name="_Toc208398752"/>
      <w:bookmarkStart w:id="451" w:name="_Toc194389959"/>
      <w:bookmarkStart w:id="452" w:name="_Toc191729765"/>
      <w:bookmarkStart w:id="453" w:name="_Toc262977992"/>
      <w:bookmarkStart w:id="454" w:name="_Toc242861306"/>
      <w:bookmarkStart w:id="455" w:name="_Toc191728205"/>
      <w:bookmarkStart w:id="456" w:name="_Toc191730049"/>
      <w:r>
        <w:rPr>
          <w:rFonts w:hint="eastAsia" w:ascii="宋体" w:hAnsi="宋体"/>
          <w:bCs/>
          <w:color w:val="000000"/>
          <w:sz w:val="28"/>
          <w:szCs w:val="28"/>
        </w:rPr>
        <w:t>表</w:t>
      </w:r>
      <w:r>
        <w:rPr>
          <w:rFonts w:ascii="宋体" w:hAnsi="宋体"/>
          <w:bCs/>
          <w:color w:val="000000"/>
          <w:sz w:val="28"/>
          <w:szCs w:val="28"/>
        </w:rPr>
        <w:t>6-</w:t>
      </w:r>
      <w:r>
        <w:rPr>
          <w:rFonts w:hint="eastAsia" w:ascii="宋体" w:hAnsi="宋体"/>
          <w:bCs/>
          <w:color w:val="000000"/>
          <w:sz w:val="28"/>
          <w:szCs w:val="28"/>
          <w:lang w:val="en-US" w:eastAsia="zh-CN"/>
        </w:rPr>
        <w:t>2汽</w:t>
      </w:r>
      <w:r>
        <w:rPr>
          <w:rFonts w:hint="eastAsia" w:ascii="宋体" w:hAnsi="宋体"/>
          <w:bCs/>
          <w:color w:val="000000"/>
          <w:sz w:val="28"/>
          <w:szCs w:val="28"/>
        </w:rPr>
        <w:t>油设备与站外建（构）筑物的安全间距对照检查表</w:t>
      </w:r>
    </w:p>
    <w:tbl>
      <w:tblPr>
        <w:tblStyle w:val="33"/>
        <w:tblW w:w="8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57"/>
        <w:gridCol w:w="934"/>
        <w:gridCol w:w="849"/>
        <w:gridCol w:w="1264"/>
        <w:gridCol w:w="1140"/>
        <w:gridCol w:w="1180"/>
        <w:gridCol w:w="950"/>
      </w:tblGrid>
      <w:tr w14:paraId="07D9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vAlign w:val="center"/>
          </w:tcPr>
          <w:p w14:paraId="0A2B7994">
            <w:pPr>
              <w:pStyle w:val="11"/>
              <w:spacing w:line="300" w:lineRule="exact"/>
              <w:ind w:firstLine="0" w:firstLineChars="0"/>
              <w:jc w:val="center"/>
              <w:rPr>
                <w:rFonts w:ascii="宋体" w:hAnsi="宋体"/>
                <w:sz w:val="21"/>
                <w:szCs w:val="21"/>
              </w:rPr>
            </w:pPr>
            <w:r>
              <w:rPr>
                <w:rFonts w:hint="eastAsia" w:ascii="宋体" w:hAnsi="宋体"/>
                <w:sz w:val="21"/>
                <w:szCs w:val="21"/>
              </w:rPr>
              <w:t>序号</w:t>
            </w:r>
          </w:p>
        </w:tc>
        <w:tc>
          <w:tcPr>
            <w:tcW w:w="1157" w:type="dxa"/>
            <w:vMerge w:val="restart"/>
            <w:vAlign w:val="center"/>
          </w:tcPr>
          <w:p w14:paraId="2B7838E5">
            <w:pPr>
              <w:pStyle w:val="11"/>
              <w:spacing w:line="300" w:lineRule="exact"/>
              <w:ind w:firstLine="0" w:firstLineChars="0"/>
              <w:jc w:val="center"/>
              <w:rPr>
                <w:rFonts w:ascii="宋体" w:hAnsi="宋体"/>
                <w:sz w:val="21"/>
                <w:szCs w:val="21"/>
              </w:rPr>
            </w:pPr>
            <w:r>
              <w:rPr>
                <w:rFonts w:hint="eastAsia" w:ascii="宋体" w:hAnsi="宋体"/>
                <w:sz w:val="21"/>
                <w:szCs w:val="21"/>
              </w:rPr>
              <w:t>工艺设施</w:t>
            </w:r>
          </w:p>
        </w:tc>
        <w:tc>
          <w:tcPr>
            <w:tcW w:w="3047" w:type="dxa"/>
            <w:gridSpan w:val="3"/>
            <w:vAlign w:val="center"/>
          </w:tcPr>
          <w:p w14:paraId="050E8C10">
            <w:pPr>
              <w:pStyle w:val="11"/>
              <w:spacing w:line="300" w:lineRule="exact"/>
              <w:ind w:firstLine="460"/>
              <w:jc w:val="center"/>
              <w:rPr>
                <w:rFonts w:ascii="宋体" w:hAnsi="宋体"/>
                <w:sz w:val="21"/>
                <w:szCs w:val="21"/>
              </w:rPr>
            </w:pPr>
            <w:r>
              <w:rPr>
                <w:rFonts w:hint="eastAsia" w:ascii="宋体" w:hAnsi="宋体"/>
                <w:sz w:val="21"/>
                <w:szCs w:val="21"/>
              </w:rPr>
              <w:t>站外建、构筑物</w:t>
            </w:r>
          </w:p>
        </w:tc>
        <w:tc>
          <w:tcPr>
            <w:tcW w:w="2320" w:type="dxa"/>
            <w:gridSpan w:val="2"/>
            <w:vAlign w:val="center"/>
          </w:tcPr>
          <w:p w14:paraId="78EDAF69">
            <w:pPr>
              <w:pStyle w:val="11"/>
              <w:spacing w:line="300" w:lineRule="exact"/>
              <w:ind w:firstLine="460"/>
              <w:jc w:val="center"/>
              <w:rPr>
                <w:rFonts w:ascii="宋体" w:hAnsi="宋体"/>
                <w:sz w:val="21"/>
                <w:szCs w:val="21"/>
              </w:rPr>
            </w:pPr>
            <w:r>
              <w:rPr>
                <w:rFonts w:hint="eastAsia" w:ascii="宋体" w:hAnsi="宋体"/>
                <w:sz w:val="21"/>
                <w:szCs w:val="21"/>
              </w:rPr>
              <w:t>防火距离(m)</w:t>
            </w:r>
          </w:p>
        </w:tc>
        <w:tc>
          <w:tcPr>
            <w:tcW w:w="950" w:type="dxa"/>
            <w:vMerge w:val="restart"/>
            <w:vAlign w:val="center"/>
          </w:tcPr>
          <w:p w14:paraId="3625E744">
            <w:pPr>
              <w:pStyle w:val="11"/>
              <w:spacing w:line="300" w:lineRule="exact"/>
              <w:ind w:left="0" w:leftChars="0" w:firstLine="0" w:firstLineChars="0"/>
              <w:jc w:val="both"/>
              <w:rPr>
                <w:rFonts w:hint="eastAsia" w:ascii="宋体" w:hAnsi="宋体" w:eastAsia="宋体"/>
                <w:sz w:val="21"/>
                <w:szCs w:val="21"/>
                <w:lang w:val="en-US" w:eastAsia="zh-CN"/>
              </w:rPr>
            </w:pPr>
            <w:r>
              <w:rPr>
                <w:rFonts w:hint="eastAsia" w:ascii="宋体" w:hAnsi="宋体"/>
                <w:sz w:val="21"/>
                <w:szCs w:val="21"/>
                <w:lang w:val="en-US" w:eastAsia="zh-CN"/>
              </w:rPr>
              <w:t>结论</w:t>
            </w:r>
          </w:p>
        </w:tc>
      </w:tr>
      <w:tr w14:paraId="45B0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67947970">
            <w:pPr>
              <w:pStyle w:val="11"/>
              <w:spacing w:line="300" w:lineRule="exact"/>
              <w:ind w:firstLine="460"/>
              <w:jc w:val="center"/>
              <w:rPr>
                <w:rFonts w:ascii="宋体" w:hAnsi="宋体"/>
                <w:sz w:val="21"/>
                <w:szCs w:val="21"/>
              </w:rPr>
            </w:pPr>
          </w:p>
        </w:tc>
        <w:tc>
          <w:tcPr>
            <w:tcW w:w="1157" w:type="dxa"/>
            <w:vMerge w:val="continue"/>
            <w:vAlign w:val="center"/>
          </w:tcPr>
          <w:p w14:paraId="36A8073E">
            <w:pPr>
              <w:pStyle w:val="11"/>
              <w:spacing w:line="300" w:lineRule="exact"/>
              <w:ind w:firstLine="460"/>
              <w:jc w:val="center"/>
              <w:rPr>
                <w:rFonts w:ascii="宋体" w:hAnsi="宋体"/>
                <w:sz w:val="21"/>
                <w:szCs w:val="21"/>
              </w:rPr>
            </w:pPr>
          </w:p>
        </w:tc>
        <w:tc>
          <w:tcPr>
            <w:tcW w:w="934" w:type="dxa"/>
            <w:vAlign w:val="center"/>
          </w:tcPr>
          <w:p w14:paraId="02FEE082">
            <w:pPr>
              <w:pStyle w:val="11"/>
              <w:spacing w:line="300" w:lineRule="exact"/>
              <w:ind w:firstLine="0" w:firstLineChars="0"/>
              <w:jc w:val="center"/>
              <w:rPr>
                <w:rFonts w:ascii="宋体" w:hAnsi="宋体"/>
                <w:sz w:val="21"/>
                <w:szCs w:val="21"/>
              </w:rPr>
            </w:pPr>
            <w:r>
              <w:rPr>
                <w:rFonts w:hint="eastAsia" w:ascii="宋体" w:hAnsi="宋体"/>
                <w:sz w:val="21"/>
                <w:szCs w:val="21"/>
              </w:rPr>
              <w:t>名称</w:t>
            </w:r>
          </w:p>
        </w:tc>
        <w:tc>
          <w:tcPr>
            <w:tcW w:w="849" w:type="dxa"/>
            <w:vAlign w:val="center"/>
          </w:tcPr>
          <w:p w14:paraId="489F97F0">
            <w:pPr>
              <w:pStyle w:val="11"/>
              <w:spacing w:line="300" w:lineRule="exact"/>
              <w:ind w:firstLine="0" w:firstLineChars="0"/>
              <w:rPr>
                <w:rFonts w:ascii="宋体" w:hAnsi="宋体"/>
                <w:sz w:val="21"/>
                <w:szCs w:val="21"/>
              </w:rPr>
            </w:pPr>
            <w:r>
              <w:rPr>
                <w:rFonts w:hint="eastAsia" w:ascii="宋体" w:hAnsi="宋体"/>
                <w:sz w:val="21"/>
                <w:szCs w:val="21"/>
              </w:rPr>
              <w:t>方位</w:t>
            </w:r>
          </w:p>
        </w:tc>
        <w:tc>
          <w:tcPr>
            <w:tcW w:w="1264" w:type="dxa"/>
            <w:vAlign w:val="center"/>
          </w:tcPr>
          <w:p w14:paraId="249077D6">
            <w:pPr>
              <w:pStyle w:val="11"/>
              <w:spacing w:line="300" w:lineRule="exact"/>
              <w:ind w:firstLine="218" w:firstLineChars="95"/>
              <w:rPr>
                <w:rFonts w:ascii="宋体" w:hAnsi="宋体"/>
                <w:sz w:val="21"/>
                <w:szCs w:val="21"/>
              </w:rPr>
            </w:pPr>
            <w:r>
              <w:rPr>
                <w:rFonts w:hint="eastAsia" w:ascii="宋体" w:hAnsi="宋体"/>
                <w:sz w:val="21"/>
                <w:szCs w:val="21"/>
              </w:rPr>
              <w:t>类别</w:t>
            </w:r>
          </w:p>
        </w:tc>
        <w:tc>
          <w:tcPr>
            <w:tcW w:w="1140" w:type="dxa"/>
            <w:vAlign w:val="center"/>
          </w:tcPr>
          <w:p w14:paraId="07EAA532">
            <w:pPr>
              <w:pStyle w:val="11"/>
              <w:spacing w:line="300" w:lineRule="exact"/>
              <w:ind w:left="230" w:hanging="230" w:hangingChars="100"/>
              <w:jc w:val="center"/>
              <w:rPr>
                <w:rFonts w:ascii="宋体" w:hAnsi="宋体"/>
                <w:sz w:val="21"/>
                <w:szCs w:val="21"/>
              </w:rPr>
            </w:pPr>
            <w:r>
              <w:rPr>
                <w:rFonts w:hint="eastAsia" w:ascii="宋体" w:hAnsi="宋体"/>
                <w:sz w:val="21"/>
                <w:szCs w:val="21"/>
              </w:rPr>
              <w:t>规范要求</w:t>
            </w:r>
          </w:p>
        </w:tc>
        <w:tc>
          <w:tcPr>
            <w:tcW w:w="1180" w:type="dxa"/>
            <w:vAlign w:val="center"/>
          </w:tcPr>
          <w:p w14:paraId="1E4B0D9E">
            <w:pPr>
              <w:pStyle w:val="11"/>
              <w:spacing w:line="300" w:lineRule="exact"/>
              <w:ind w:left="230" w:hanging="230" w:hangingChars="100"/>
              <w:jc w:val="center"/>
              <w:rPr>
                <w:rFonts w:ascii="宋体" w:hAnsi="宋体"/>
                <w:sz w:val="21"/>
                <w:szCs w:val="21"/>
              </w:rPr>
            </w:pPr>
            <w:r>
              <w:rPr>
                <w:rFonts w:hint="eastAsia" w:ascii="宋体" w:hAnsi="宋体"/>
                <w:sz w:val="21"/>
                <w:szCs w:val="21"/>
              </w:rPr>
              <w:t>实际距离</w:t>
            </w:r>
          </w:p>
        </w:tc>
        <w:tc>
          <w:tcPr>
            <w:tcW w:w="950" w:type="dxa"/>
            <w:vMerge w:val="continue"/>
            <w:vAlign w:val="center"/>
          </w:tcPr>
          <w:p w14:paraId="08AA5864">
            <w:pPr>
              <w:pStyle w:val="11"/>
              <w:spacing w:line="300" w:lineRule="exact"/>
              <w:ind w:left="230" w:hanging="230" w:hangingChars="100"/>
              <w:jc w:val="center"/>
              <w:rPr>
                <w:rFonts w:hint="eastAsia" w:ascii="宋体" w:hAnsi="宋体"/>
                <w:sz w:val="21"/>
                <w:szCs w:val="21"/>
              </w:rPr>
            </w:pPr>
          </w:p>
        </w:tc>
      </w:tr>
      <w:tr w14:paraId="2D42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restart"/>
            <w:vAlign w:val="center"/>
          </w:tcPr>
          <w:p w14:paraId="1D33152B">
            <w:pPr>
              <w:pStyle w:val="11"/>
              <w:spacing w:line="300" w:lineRule="exact"/>
              <w:ind w:firstLine="218" w:firstLineChars="95"/>
              <w:jc w:val="center"/>
              <w:rPr>
                <w:rFonts w:hint="eastAsia" w:ascii="宋体" w:hAnsi="宋体" w:eastAsia="宋体"/>
                <w:sz w:val="21"/>
                <w:szCs w:val="21"/>
                <w:lang w:eastAsia="zh-CN"/>
              </w:rPr>
            </w:pPr>
            <w:r>
              <w:rPr>
                <w:rFonts w:hint="eastAsia" w:ascii="宋体" w:hAnsi="宋体"/>
                <w:sz w:val="21"/>
                <w:szCs w:val="21"/>
                <w:lang w:eastAsia="zh-CN"/>
              </w:rPr>
              <w:t>1</w:t>
            </w:r>
          </w:p>
        </w:tc>
        <w:tc>
          <w:tcPr>
            <w:tcW w:w="1157" w:type="dxa"/>
            <w:vMerge w:val="restart"/>
            <w:vAlign w:val="center"/>
          </w:tcPr>
          <w:p w14:paraId="11E1F0EB">
            <w:pPr>
              <w:pStyle w:val="11"/>
              <w:spacing w:line="300" w:lineRule="exact"/>
              <w:ind w:firstLine="0" w:firstLineChars="0"/>
              <w:jc w:val="center"/>
              <w:rPr>
                <w:rFonts w:ascii="宋体" w:hAnsi="宋体"/>
                <w:sz w:val="21"/>
                <w:szCs w:val="21"/>
              </w:rPr>
            </w:pPr>
            <w:r>
              <w:rPr>
                <w:rFonts w:hint="eastAsia" w:ascii="宋体" w:hAnsi="宋体"/>
                <w:sz w:val="21"/>
                <w:szCs w:val="21"/>
              </w:rPr>
              <w:t>埋地油罐</w:t>
            </w:r>
          </w:p>
        </w:tc>
        <w:tc>
          <w:tcPr>
            <w:tcW w:w="934" w:type="dxa"/>
            <w:vAlign w:val="center"/>
          </w:tcPr>
          <w:p w14:paraId="0CCEBD7A">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73465617">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264" w:type="dxa"/>
            <w:vAlign w:val="center"/>
          </w:tcPr>
          <w:p w14:paraId="5BA00AAC">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主</w:t>
            </w:r>
            <w:r>
              <w:rPr>
                <w:rFonts w:hint="eastAsia" w:ascii="宋体" w:hAnsi="宋体"/>
                <w:sz w:val="21"/>
                <w:szCs w:val="21"/>
              </w:rPr>
              <w:t>干路</w:t>
            </w:r>
          </w:p>
        </w:tc>
        <w:tc>
          <w:tcPr>
            <w:tcW w:w="1140" w:type="dxa"/>
            <w:vAlign w:val="center"/>
          </w:tcPr>
          <w:p w14:paraId="209DC0D2">
            <w:pPr>
              <w:pStyle w:val="11"/>
              <w:spacing w:line="300" w:lineRule="exact"/>
              <w:ind w:firstLine="460"/>
              <w:rPr>
                <w:rFonts w:hint="default" w:ascii="宋体" w:hAnsi="宋体" w:eastAsia="宋体"/>
                <w:sz w:val="21"/>
                <w:szCs w:val="21"/>
                <w:lang w:val="en-US" w:eastAsia="zh-CN"/>
              </w:rPr>
            </w:pPr>
            <w:r>
              <w:rPr>
                <w:rFonts w:ascii="宋体" w:hAnsi="宋体"/>
                <w:sz w:val="21"/>
                <w:szCs w:val="21"/>
              </w:rPr>
              <w:t>5</w:t>
            </w:r>
            <w:r>
              <w:rPr>
                <w:rFonts w:hint="eastAsia" w:ascii="宋体" w:hAnsi="宋体"/>
                <w:sz w:val="21"/>
                <w:szCs w:val="21"/>
                <w:lang w:val="en-US" w:eastAsia="zh-CN"/>
              </w:rPr>
              <w:t>.5</w:t>
            </w:r>
          </w:p>
        </w:tc>
        <w:tc>
          <w:tcPr>
            <w:tcW w:w="1180" w:type="dxa"/>
            <w:vAlign w:val="center"/>
          </w:tcPr>
          <w:p w14:paraId="0CD42DB5">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6</w:t>
            </w:r>
          </w:p>
        </w:tc>
        <w:tc>
          <w:tcPr>
            <w:tcW w:w="950" w:type="dxa"/>
            <w:vAlign w:val="center"/>
          </w:tcPr>
          <w:p w14:paraId="15B0A7E5">
            <w:pPr>
              <w:pStyle w:val="11"/>
              <w:spacing w:line="300" w:lineRule="exact"/>
              <w:ind w:firstLine="0" w:firstLineChars="0"/>
              <w:jc w:val="center"/>
              <w:rPr>
                <w:rFonts w:hint="eastAsia" w:ascii="宋体" w:hAnsi="宋体" w:eastAsia="宋体"/>
                <w:sz w:val="21"/>
                <w:szCs w:val="21"/>
                <w:lang w:val="en-US" w:eastAsia="zh-CN"/>
              </w:rPr>
            </w:pPr>
            <w:r>
              <w:rPr>
                <w:rFonts w:hint="eastAsia" w:ascii="宋体" w:hAnsi="宋体"/>
                <w:sz w:val="21"/>
                <w:szCs w:val="21"/>
                <w:lang w:val="en-US" w:eastAsia="zh-CN"/>
              </w:rPr>
              <w:t>符合</w:t>
            </w:r>
          </w:p>
        </w:tc>
      </w:tr>
      <w:tr w14:paraId="0658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312BB610">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34FFB6C3">
            <w:pPr>
              <w:pStyle w:val="11"/>
              <w:spacing w:line="300" w:lineRule="exact"/>
              <w:ind w:firstLine="0" w:firstLineChars="0"/>
              <w:jc w:val="center"/>
              <w:rPr>
                <w:rFonts w:hint="eastAsia" w:ascii="宋体" w:hAnsi="宋体"/>
                <w:sz w:val="21"/>
                <w:szCs w:val="21"/>
              </w:rPr>
            </w:pPr>
          </w:p>
        </w:tc>
        <w:tc>
          <w:tcPr>
            <w:tcW w:w="934" w:type="dxa"/>
            <w:vAlign w:val="center"/>
          </w:tcPr>
          <w:p w14:paraId="49E1A7BE">
            <w:pPr>
              <w:pStyle w:val="11"/>
              <w:spacing w:line="300" w:lineRule="exact"/>
              <w:ind w:firstLine="0" w:firstLineChars="0"/>
              <w:jc w:val="center"/>
              <w:rPr>
                <w:rFonts w:hint="eastAsia" w:ascii="宋体" w:hAnsi="宋体" w:eastAsia="宋体"/>
                <w:sz w:val="21"/>
                <w:szCs w:val="21"/>
                <w:lang w:val="en-US" w:eastAsia="zh-CN"/>
              </w:rPr>
            </w:pPr>
            <w:r>
              <w:rPr>
                <w:rFonts w:hint="eastAsia" w:ascii="宋体" w:hAnsi="宋体"/>
                <w:sz w:val="21"/>
                <w:szCs w:val="21"/>
                <w:lang w:val="en-US" w:eastAsia="zh-CN"/>
              </w:rPr>
              <w:t>民房</w:t>
            </w:r>
          </w:p>
        </w:tc>
        <w:tc>
          <w:tcPr>
            <w:tcW w:w="849" w:type="dxa"/>
            <w:vAlign w:val="center"/>
          </w:tcPr>
          <w:p w14:paraId="2D7E4D49">
            <w:pPr>
              <w:jc w:val="center"/>
              <w:rPr>
                <w:rFonts w:hint="default" w:ascii="宋体" w:hAnsi="宋体" w:eastAsia="宋体"/>
                <w:szCs w:val="21"/>
                <w:lang w:val="en-US" w:eastAsia="zh-CN"/>
              </w:rPr>
            </w:pPr>
            <w:r>
              <w:rPr>
                <w:rFonts w:hint="eastAsia" w:ascii="宋体" w:hAnsi="宋体"/>
                <w:szCs w:val="21"/>
                <w:lang w:val="en-US" w:eastAsia="zh-CN"/>
              </w:rPr>
              <w:t>东面</w:t>
            </w:r>
          </w:p>
        </w:tc>
        <w:tc>
          <w:tcPr>
            <w:tcW w:w="1264" w:type="dxa"/>
            <w:vAlign w:val="center"/>
          </w:tcPr>
          <w:p w14:paraId="54359B7C">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40" w:type="dxa"/>
            <w:vAlign w:val="center"/>
          </w:tcPr>
          <w:p w14:paraId="4DE4004B">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7</w:t>
            </w:r>
          </w:p>
        </w:tc>
        <w:tc>
          <w:tcPr>
            <w:tcW w:w="1180" w:type="dxa"/>
            <w:vAlign w:val="center"/>
          </w:tcPr>
          <w:p w14:paraId="38282194">
            <w:pPr>
              <w:pStyle w:val="11"/>
              <w:spacing w:line="300" w:lineRule="exact"/>
              <w:ind w:firstLine="0" w:firstLineChars="0"/>
              <w:jc w:val="center"/>
              <w:rPr>
                <w:rFonts w:hint="eastAsia" w:ascii="宋体" w:hAnsi="宋体" w:eastAsia="宋体"/>
                <w:sz w:val="21"/>
                <w:szCs w:val="21"/>
                <w:lang w:val="en-US" w:eastAsia="zh-CN"/>
              </w:rPr>
            </w:pPr>
            <w:r>
              <w:rPr>
                <w:rFonts w:hint="eastAsia" w:ascii="宋体" w:hAnsi="宋体"/>
                <w:sz w:val="21"/>
                <w:szCs w:val="21"/>
                <w:lang w:val="en-US" w:eastAsia="zh-CN"/>
              </w:rPr>
              <w:t>9</w:t>
            </w:r>
          </w:p>
        </w:tc>
        <w:tc>
          <w:tcPr>
            <w:tcW w:w="950" w:type="dxa"/>
            <w:vAlign w:val="center"/>
          </w:tcPr>
          <w:p w14:paraId="06E93F43">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12C3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69048494">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1439F197">
            <w:pPr>
              <w:pStyle w:val="11"/>
              <w:spacing w:line="300" w:lineRule="exact"/>
              <w:ind w:firstLine="0" w:firstLineChars="0"/>
              <w:jc w:val="center"/>
              <w:rPr>
                <w:rFonts w:hint="eastAsia" w:ascii="宋体" w:hAnsi="宋体"/>
                <w:sz w:val="21"/>
                <w:szCs w:val="21"/>
              </w:rPr>
            </w:pPr>
          </w:p>
        </w:tc>
        <w:tc>
          <w:tcPr>
            <w:tcW w:w="934" w:type="dxa"/>
            <w:vAlign w:val="center"/>
          </w:tcPr>
          <w:p w14:paraId="1CE47A99">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洗车机</w:t>
            </w:r>
          </w:p>
        </w:tc>
        <w:tc>
          <w:tcPr>
            <w:tcW w:w="849" w:type="dxa"/>
            <w:vAlign w:val="center"/>
          </w:tcPr>
          <w:p w14:paraId="451F2131">
            <w:pPr>
              <w:jc w:val="center"/>
              <w:rPr>
                <w:rFonts w:hint="eastAsia" w:ascii="宋体" w:hAnsi="宋体"/>
                <w:szCs w:val="21"/>
                <w:lang w:val="en-US" w:eastAsia="zh-CN"/>
              </w:rPr>
            </w:pPr>
            <w:r>
              <w:rPr>
                <w:rFonts w:hint="eastAsia" w:ascii="宋体" w:hAnsi="宋体"/>
                <w:szCs w:val="21"/>
                <w:lang w:val="en-US" w:eastAsia="zh-CN"/>
              </w:rPr>
              <w:t>东面</w:t>
            </w:r>
          </w:p>
        </w:tc>
        <w:tc>
          <w:tcPr>
            <w:tcW w:w="1264" w:type="dxa"/>
            <w:vAlign w:val="center"/>
          </w:tcPr>
          <w:p w14:paraId="172960E2">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40" w:type="dxa"/>
            <w:vAlign w:val="center"/>
          </w:tcPr>
          <w:p w14:paraId="1B171ECE">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7</w:t>
            </w:r>
          </w:p>
        </w:tc>
        <w:tc>
          <w:tcPr>
            <w:tcW w:w="1180" w:type="dxa"/>
            <w:vAlign w:val="center"/>
          </w:tcPr>
          <w:p w14:paraId="21071C35">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17</w:t>
            </w:r>
          </w:p>
        </w:tc>
        <w:tc>
          <w:tcPr>
            <w:tcW w:w="950" w:type="dxa"/>
            <w:vAlign w:val="center"/>
          </w:tcPr>
          <w:p w14:paraId="4190D0CB">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444C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26D5F365">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401A48F2">
            <w:pPr>
              <w:pStyle w:val="11"/>
              <w:spacing w:line="300" w:lineRule="exact"/>
              <w:ind w:firstLine="0" w:firstLineChars="0"/>
              <w:jc w:val="center"/>
              <w:rPr>
                <w:rFonts w:hint="eastAsia" w:ascii="宋体" w:hAnsi="宋体"/>
                <w:sz w:val="21"/>
                <w:szCs w:val="21"/>
              </w:rPr>
            </w:pPr>
          </w:p>
        </w:tc>
        <w:tc>
          <w:tcPr>
            <w:tcW w:w="934" w:type="dxa"/>
            <w:vAlign w:val="center"/>
          </w:tcPr>
          <w:p w14:paraId="5ECC849D">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架空电力线</w:t>
            </w:r>
          </w:p>
        </w:tc>
        <w:tc>
          <w:tcPr>
            <w:tcW w:w="849" w:type="dxa"/>
            <w:vAlign w:val="center"/>
          </w:tcPr>
          <w:p w14:paraId="508317D4">
            <w:pPr>
              <w:jc w:val="center"/>
              <w:rPr>
                <w:rFonts w:hint="default" w:ascii="宋体" w:hAnsi="宋体"/>
                <w:szCs w:val="21"/>
                <w:lang w:val="en-US" w:eastAsia="zh-CN"/>
              </w:rPr>
            </w:pPr>
            <w:r>
              <w:rPr>
                <w:rFonts w:hint="eastAsia" w:ascii="宋体" w:hAnsi="宋体"/>
                <w:szCs w:val="21"/>
                <w:lang w:val="en-US" w:eastAsia="zh-CN"/>
              </w:rPr>
              <w:t>北面</w:t>
            </w:r>
          </w:p>
        </w:tc>
        <w:tc>
          <w:tcPr>
            <w:tcW w:w="1264" w:type="dxa"/>
            <w:vAlign w:val="center"/>
          </w:tcPr>
          <w:p w14:paraId="3DD33FB3">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140" w:type="dxa"/>
            <w:vAlign w:val="center"/>
          </w:tcPr>
          <w:p w14:paraId="1CFF2BBE">
            <w:pPr>
              <w:pStyle w:val="11"/>
              <w:spacing w:line="300" w:lineRule="exact"/>
              <w:ind w:firstLine="460"/>
              <w:rPr>
                <w:rFonts w:hint="default" w:ascii="宋体" w:hAnsi="宋体"/>
                <w:sz w:val="21"/>
                <w:szCs w:val="21"/>
                <w:lang w:val="en-US" w:eastAsia="zh-CN"/>
              </w:rPr>
            </w:pPr>
            <w:r>
              <w:rPr>
                <w:rFonts w:hint="eastAsia" w:ascii="宋体" w:hAnsi="宋体"/>
                <w:sz w:val="21"/>
                <w:szCs w:val="21"/>
                <w:lang w:val="en-US" w:eastAsia="zh-CN"/>
              </w:rPr>
              <w:t>5</w:t>
            </w:r>
          </w:p>
        </w:tc>
        <w:tc>
          <w:tcPr>
            <w:tcW w:w="1180" w:type="dxa"/>
            <w:vAlign w:val="center"/>
          </w:tcPr>
          <w:p w14:paraId="6320D108">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34.2</w:t>
            </w:r>
          </w:p>
        </w:tc>
        <w:tc>
          <w:tcPr>
            <w:tcW w:w="950" w:type="dxa"/>
            <w:vAlign w:val="center"/>
          </w:tcPr>
          <w:p w14:paraId="17CE36ED">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70D9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restart"/>
            <w:vAlign w:val="center"/>
          </w:tcPr>
          <w:p w14:paraId="1B66C3C8">
            <w:pPr>
              <w:pStyle w:val="11"/>
              <w:spacing w:line="300" w:lineRule="exact"/>
              <w:ind w:firstLine="218" w:firstLineChars="95"/>
              <w:jc w:val="center"/>
              <w:rPr>
                <w:rFonts w:ascii="宋体" w:hAnsi="宋体"/>
                <w:sz w:val="21"/>
                <w:szCs w:val="21"/>
              </w:rPr>
            </w:pPr>
            <w:r>
              <w:rPr>
                <w:rFonts w:hint="eastAsia" w:ascii="宋体" w:hAnsi="宋体"/>
                <w:sz w:val="21"/>
                <w:szCs w:val="21"/>
              </w:rPr>
              <w:t>2</w:t>
            </w:r>
          </w:p>
        </w:tc>
        <w:tc>
          <w:tcPr>
            <w:tcW w:w="1157" w:type="dxa"/>
            <w:vMerge w:val="restart"/>
            <w:vAlign w:val="center"/>
          </w:tcPr>
          <w:p w14:paraId="31F0119E">
            <w:pPr>
              <w:pStyle w:val="11"/>
              <w:spacing w:line="300" w:lineRule="exact"/>
              <w:ind w:firstLine="0" w:firstLineChars="0"/>
              <w:jc w:val="center"/>
              <w:rPr>
                <w:rFonts w:ascii="宋体" w:hAnsi="宋体"/>
                <w:sz w:val="21"/>
                <w:szCs w:val="21"/>
              </w:rPr>
            </w:pPr>
            <w:r>
              <w:rPr>
                <w:rFonts w:hint="eastAsia" w:ascii="宋体" w:hAnsi="宋体"/>
                <w:sz w:val="21"/>
                <w:szCs w:val="21"/>
              </w:rPr>
              <w:t>通气管口</w:t>
            </w:r>
          </w:p>
        </w:tc>
        <w:tc>
          <w:tcPr>
            <w:tcW w:w="934" w:type="dxa"/>
            <w:vAlign w:val="center"/>
          </w:tcPr>
          <w:p w14:paraId="7FA67A3D">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574A1593">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264" w:type="dxa"/>
            <w:vAlign w:val="center"/>
          </w:tcPr>
          <w:p w14:paraId="794CF73D">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主</w:t>
            </w:r>
            <w:r>
              <w:rPr>
                <w:rFonts w:hint="eastAsia" w:ascii="宋体" w:hAnsi="宋体"/>
                <w:sz w:val="21"/>
                <w:szCs w:val="21"/>
              </w:rPr>
              <w:t>干路</w:t>
            </w:r>
          </w:p>
        </w:tc>
        <w:tc>
          <w:tcPr>
            <w:tcW w:w="1140" w:type="dxa"/>
            <w:vAlign w:val="center"/>
          </w:tcPr>
          <w:p w14:paraId="70FFC126">
            <w:pPr>
              <w:pStyle w:val="11"/>
              <w:spacing w:line="300" w:lineRule="exact"/>
              <w:ind w:firstLine="460" w:firstLineChars="200"/>
              <w:rPr>
                <w:rFonts w:ascii="宋体" w:hAnsi="宋体"/>
                <w:sz w:val="21"/>
                <w:szCs w:val="21"/>
              </w:rPr>
            </w:pPr>
            <w:r>
              <w:rPr>
                <w:rFonts w:ascii="宋体" w:hAnsi="宋体"/>
                <w:sz w:val="21"/>
                <w:szCs w:val="21"/>
              </w:rPr>
              <w:t>5</w:t>
            </w:r>
            <w:r>
              <w:rPr>
                <w:rFonts w:hint="eastAsia" w:ascii="宋体" w:hAnsi="宋体"/>
                <w:sz w:val="21"/>
                <w:szCs w:val="21"/>
                <w:lang w:val="en-US" w:eastAsia="zh-CN"/>
              </w:rPr>
              <w:t>.5</w:t>
            </w:r>
          </w:p>
        </w:tc>
        <w:tc>
          <w:tcPr>
            <w:tcW w:w="1180" w:type="dxa"/>
            <w:vAlign w:val="center"/>
          </w:tcPr>
          <w:p w14:paraId="6067784B">
            <w:pPr>
              <w:pStyle w:val="11"/>
              <w:spacing w:line="300" w:lineRule="exact"/>
              <w:ind w:firstLine="0" w:firstLineChars="0"/>
              <w:jc w:val="center"/>
              <w:rPr>
                <w:rFonts w:ascii="宋体" w:hAnsi="宋体"/>
                <w:sz w:val="21"/>
                <w:szCs w:val="21"/>
              </w:rPr>
            </w:pPr>
            <w:r>
              <w:rPr>
                <w:rFonts w:hint="eastAsia" w:ascii="宋体" w:hAnsi="宋体"/>
                <w:sz w:val="21"/>
                <w:szCs w:val="21"/>
              </w:rPr>
              <w:t>13</w:t>
            </w:r>
          </w:p>
        </w:tc>
        <w:tc>
          <w:tcPr>
            <w:tcW w:w="950" w:type="dxa"/>
            <w:vAlign w:val="center"/>
          </w:tcPr>
          <w:p w14:paraId="74CAD36A">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53F0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30568B5E">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3F5EB05C">
            <w:pPr>
              <w:pStyle w:val="11"/>
              <w:spacing w:line="300" w:lineRule="exact"/>
              <w:ind w:firstLine="0" w:firstLineChars="0"/>
              <w:jc w:val="center"/>
              <w:rPr>
                <w:rFonts w:hint="eastAsia" w:ascii="宋体" w:hAnsi="宋体"/>
                <w:sz w:val="21"/>
                <w:szCs w:val="21"/>
              </w:rPr>
            </w:pPr>
          </w:p>
        </w:tc>
        <w:tc>
          <w:tcPr>
            <w:tcW w:w="934" w:type="dxa"/>
            <w:vAlign w:val="center"/>
          </w:tcPr>
          <w:p w14:paraId="09D2F003">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民房</w:t>
            </w:r>
          </w:p>
        </w:tc>
        <w:tc>
          <w:tcPr>
            <w:tcW w:w="849" w:type="dxa"/>
            <w:vAlign w:val="center"/>
          </w:tcPr>
          <w:p w14:paraId="78143867">
            <w:pPr>
              <w:jc w:val="center"/>
              <w:rPr>
                <w:rFonts w:hint="eastAsia" w:ascii="宋体" w:hAnsi="宋体"/>
                <w:szCs w:val="21"/>
              </w:rPr>
            </w:pPr>
            <w:r>
              <w:rPr>
                <w:rFonts w:hint="eastAsia" w:ascii="宋体" w:hAnsi="宋体"/>
                <w:szCs w:val="21"/>
                <w:lang w:val="en-US" w:eastAsia="zh-CN"/>
              </w:rPr>
              <w:t>东面</w:t>
            </w:r>
          </w:p>
        </w:tc>
        <w:tc>
          <w:tcPr>
            <w:tcW w:w="1264" w:type="dxa"/>
            <w:vAlign w:val="center"/>
          </w:tcPr>
          <w:p w14:paraId="4D32177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40" w:type="dxa"/>
            <w:vAlign w:val="center"/>
          </w:tcPr>
          <w:p w14:paraId="25C3F53A">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7</w:t>
            </w:r>
          </w:p>
        </w:tc>
        <w:tc>
          <w:tcPr>
            <w:tcW w:w="1180" w:type="dxa"/>
            <w:vAlign w:val="center"/>
          </w:tcPr>
          <w:p w14:paraId="55A88ED2">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13.3</w:t>
            </w:r>
          </w:p>
        </w:tc>
        <w:tc>
          <w:tcPr>
            <w:tcW w:w="950" w:type="dxa"/>
            <w:vAlign w:val="center"/>
          </w:tcPr>
          <w:p w14:paraId="330D5286">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3DAC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245C6ED0">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595C6B90">
            <w:pPr>
              <w:pStyle w:val="11"/>
              <w:spacing w:line="300" w:lineRule="exact"/>
              <w:ind w:firstLine="0" w:firstLineChars="0"/>
              <w:jc w:val="center"/>
              <w:rPr>
                <w:rFonts w:hint="eastAsia" w:ascii="宋体" w:hAnsi="宋体"/>
                <w:sz w:val="21"/>
                <w:szCs w:val="21"/>
              </w:rPr>
            </w:pPr>
          </w:p>
        </w:tc>
        <w:tc>
          <w:tcPr>
            <w:tcW w:w="934" w:type="dxa"/>
            <w:vAlign w:val="center"/>
          </w:tcPr>
          <w:p w14:paraId="29B6776B">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洗车机</w:t>
            </w:r>
          </w:p>
        </w:tc>
        <w:tc>
          <w:tcPr>
            <w:tcW w:w="849" w:type="dxa"/>
            <w:vAlign w:val="center"/>
          </w:tcPr>
          <w:p w14:paraId="705EC9E9">
            <w:pPr>
              <w:jc w:val="center"/>
              <w:rPr>
                <w:rFonts w:hint="eastAsia" w:ascii="宋体" w:hAnsi="宋体"/>
                <w:szCs w:val="21"/>
              </w:rPr>
            </w:pPr>
            <w:r>
              <w:rPr>
                <w:rFonts w:hint="eastAsia" w:ascii="宋体" w:hAnsi="宋体"/>
                <w:szCs w:val="21"/>
                <w:lang w:val="en-US" w:eastAsia="zh-CN"/>
              </w:rPr>
              <w:t>东面</w:t>
            </w:r>
          </w:p>
        </w:tc>
        <w:tc>
          <w:tcPr>
            <w:tcW w:w="1264" w:type="dxa"/>
            <w:vAlign w:val="center"/>
          </w:tcPr>
          <w:p w14:paraId="29D83571">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40" w:type="dxa"/>
            <w:vAlign w:val="center"/>
          </w:tcPr>
          <w:p w14:paraId="59E5B8ED">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7</w:t>
            </w:r>
          </w:p>
        </w:tc>
        <w:tc>
          <w:tcPr>
            <w:tcW w:w="1180" w:type="dxa"/>
            <w:vAlign w:val="center"/>
          </w:tcPr>
          <w:p w14:paraId="0D99278C">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21.3</w:t>
            </w:r>
          </w:p>
        </w:tc>
        <w:tc>
          <w:tcPr>
            <w:tcW w:w="950" w:type="dxa"/>
            <w:vAlign w:val="center"/>
          </w:tcPr>
          <w:p w14:paraId="2D7703C5">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7F6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11BFBEB6">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0ADA601E">
            <w:pPr>
              <w:pStyle w:val="11"/>
              <w:spacing w:line="300" w:lineRule="exact"/>
              <w:ind w:firstLine="0" w:firstLineChars="0"/>
              <w:jc w:val="center"/>
              <w:rPr>
                <w:rFonts w:hint="eastAsia" w:ascii="宋体" w:hAnsi="宋体"/>
                <w:sz w:val="21"/>
                <w:szCs w:val="21"/>
              </w:rPr>
            </w:pPr>
          </w:p>
        </w:tc>
        <w:tc>
          <w:tcPr>
            <w:tcW w:w="934" w:type="dxa"/>
            <w:vAlign w:val="center"/>
          </w:tcPr>
          <w:p w14:paraId="1D3DDC9C">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架空电力线</w:t>
            </w:r>
          </w:p>
        </w:tc>
        <w:tc>
          <w:tcPr>
            <w:tcW w:w="849" w:type="dxa"/>
            <w:vAlign w:val="center"/>
          </w:tcPr>
          <w:p w14:paraId="26FADE3D">
            <w:pPr>
              <w:jc w:val="center"/>
              <w:rPr>
                <w:rFonts w:hint="eastAsia" w:ascii="宋体" w:hAnsi="宋体"/>
                <w:szCs w:val="21"/>
              </w:rPr>
            </w:pPr>
            <w:r>
              <w:rPr>
                <w:rFonts w:hint="eastAsia" w:ascii="宋体" w:hAnsi="宋体"/>
                <w:szCs w:val="21"/>
                <w:lang w:val="en-US" w:eastAsia="zh-CN"/>
              </w:rPr>
              <w:t>北面</w:t>
            </w:r>
          </w:p>
        </w:tc>
        <w:tc>
          <w:tcPr>
            <w:tcW w:w="1264" w:type="dxa"/>
            <w:vAlign w:val="center"/>
          </w:tcPr>
          <w:p w14:paraId="4B10C4C2">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140" w:type="dxa"/>
            <w:vAlign w:val="center"/>
          </w:tcPr>
          <w:p w14:paraId="3453BEA8">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5</w:t>
            </w:r>
          </w:p>
        </w:tc>
        <w:tc>
          <w:tcPr>
            <w:tcW w:w="1180" w:type="dxa"/>
            <w:vAlign w:val="center"/>
          </w:tcPr>
          <w:p w14:paraId="2D9D24EC">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33.8</w:t>
            </w:r>
          </w:p>
        </w:tc>
        <w:tc>
          <w:tcPr>
            <w:tcW w:w="950" w:type="dxa"/>
            <w:vAlign w:val="center"/>
          </w:tcPr>
          <w:p w14:paraId="6FD1B73C">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1B72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vAlign w:val="center"/>
          </w:tcPr>
          <w:p w14:paraId="2A86189F">
            <w:pPr>
              <w:pStyle w:val="11"/>
              <w:spacing w:line="300" w:lineRule="exact"/>
              <w:ind w:firstLine="218" w:firstLineChars="95"/>
              <w:jc w:val="center"/>
              <w:rPr>
                <w:rFonts w:ascii="宋体" w:hAnsi="宋体"/>
                <w:sz w:val="21"/>
                <w:szCs w:val="21"/>
              </w:rPr>
            </w:pPr>
            <w:r>
              <w:rPr>
                <w:rFonts w:hint="eastAsia" w:ascii="宋体" w:hAnsi="宋体"/>
                <w:sz w:val="21"/>
                <w:szCs w:val="21"/>
              </w:rPr>
              <w:t>3</w:t>
            </w:r>
          </w:p>
        </w:tc>
        <w:tc>
          <w:tcPr>
            <w:tcW w:w="1157" w:type="dxa"/>
            <w:vMerge w:val="restart"/>
            <w:vAlign w:val="center"/>
          </w:tcPr>
          <w:p w14:paraId="54C776C3">
            <w:pPr>
              <w:spacing w:line="300" w:lineRule="exact"/>
              <w:jc w:val="center"/>
              <w:rPr>
                <w:rFonts w:ascii="宋体" w:hAnsi="宋体"/>
                <w:szCs w:val="21"/>
              </w:rPr>
            </w:pPr>
            <w:r>
              <w:rPr>
                <w:rFonts w:hint="eastAsia" w:ascii="宋体" w:hAnsi="宋体"/>
                <w:szCs w:val="21"/>
              </w:rPr>
              <w:t>加油机</w:t>
            </w:r>
          </w:p>
        </w:tc>
        <w:tc>
          <w:tcPr>
            <w:tcW w:w="934" w:type="dxa"/>
            <w:vAlign w:val="center"/>
          </w:tcPr>
          <w:p w14:paraId="1B57A6E6">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2958D19E">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264" w:type="dxa"/>
            <w:vAlign w:val="center"/>
          </w:tcPr>
          <w:p w14:paraId="43E9D045">
            <w:pPr>
              <w:pStyle w:val="11"/>
              <w:spacing w:line="300" w:lineRule="exact"/>
              <w:ind w:firstLine="0" w:firstLineChars="0"/>
              <w:jc w:val="center"/>
              <w:rPr>
                <w:rFonts w:ascii="宋体" w:hAnsi="宋体"/>
                <w:szCs w:val="21"/>
              </w:rPr>
            </w:pPr>
            <w:r>
              <w:rPr>
                <w:rFonts w:hint="eastAsia" w:ascii="宋体" w:hAnsi="宋体"/>
                <w:sz w:val="21"/>
                <w:szCs w:val="21"/>
                <w:lang w:val="en-US" w:eastAsia="zh-CN"/>
              </w:rPr>
              <w:t>主</w:t>
            </w:r>
            <w:r>
              <w:rPr>
                <w:rFonts w:hint="eastAsia" w:ascii="宋体" w:hAnsi="宋体"/>
                <w:sz w:val="21"/>
                <w:szCs w:val="21"/>
              </w:rPr>
              <w:t>干路</w:t>
            </w:r>
          </w:p>
        </w:tc>
        <w:tc>
          <w:tcPr>
            <w:tcW w:w="1140" w:type="dxa"/>
            <w:vAlign w:val="center"/>
          </w:tcPr>
          <w:p w14:paraId="0462F0BB">
            <w:pPr>
              <w:pStyle w:val="11"/>
              <w:spacing w:line="300" w:lineRule="exact"/>
              <w:ind w:firstLine="460" w:firstLineChars="200"/>
              <w:rPr>
                <w:rFonts w:ascii="宋体" w:hAnsi="宋体"/>
                <w:sz w:val="21"/>
                <w:szCs w:val="21"/>
              </w:rPr>
            </w:pPr>
            <w:r>
              <w:rPr>
                <w:rFonts w:ascii="宋体" w:hAnsi="宋体"/>
                <w:sz w:val="21"/>
                <w:szCs w:val="21"/>
              </w:rPr>
              <w:t>5</w:t>
            </w:r>
            <w:r>
              <w:rPr>
                <w:rFonts w:hint="eastAsia" w:ascii="宋体" w:hAnsi="宋体"/>
                <w:sz w:val="21"/>
                <w:szCs w:val="21"/>
                <w:lang w:val="en-US" w:eastAsia="zh-CN"/>
              </w:rPr>
              <w:t>.5</w:t>
            </w:r>
          </w:p>
        </w:tc>
        <w:tc>
          <w:tcPr>
            <w:tcW w:w="1180" w:type="dxa"/>
            <w:vAlign w:val="center"/>
          </w:tcPr>
          <w:p w14:paraId="0C08DB96">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7.8</w:t>
            </w:r>
          </w:p>
        </w:tc>
        <w:tc>
          <w:tcPr>
            <w:tcW w:w="950" w:type="dxa"/>
            <w:vAlign w:val="center"/>
          </w:tcPr>
          <w:p w14:paraId="18E50FC2">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4635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6D8F1FDE">
            <w:pPr>
              <w:pStyle w:val="11"/>
              <w:spacing w:line="300" w:lineRule="exact"/>
              <w:ind w:firstLine="218" w:firstLineChars="95"/>
              <w:jc w:val="center"/>
              <w:rPr>
                <w:rFonts w:ascii="宋体" w:hAnsi="宋体"/>
                <w:sz w:val="21"/>
                <w:szCs w:val="21"/>
              </w:rPr>
            </w:pPr>
          </w:p>
        </w:tc>
        <w:tc>
          <w:tcPr>
            <w:tcW w:w="1157" w:type="dxa"/>
            <w:vMerge w:val="continue"/>
            <w:vAlign w:val="center"/>
          </w:tcPr>
          <w:p w14:paraId="3CD4C4C7">
            <w:pPr>
              <w:spacing w:line="300" w:lineRule="exact"/>
              <w:jc w:val="center"/>
              <w:rPr>
                <w:rFonts w:ascii="宋体" w:hAnsi="宋体"/>
                <w:szCs w:val="21"/>
              </w:rPr>
            </w:pPr>
          </w:p>
        </w:tc>
        <w:tc>
          <w:tcPr>
            <w:tcW w:w="934" w:type="dxa"/>
            <w:vAlign w:val="center"/>
          </w:tcPr>
          <w:p w14:paraId="402BECEA">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民房</w:t>
            </w:r>
          </w:p>
        </w:tc>
        <w:tc>
          <w:tcPr>
            <w:tcW w:w="849" w:type="dxa"/>
            <w:vAlign w:val="center"/>
          </w:tcPr>
          <w:p w14:paraId="584A29D7">
            <w:pPr>
              <w:jc w:val="center"/>
              <w:rPr>
                <w:rFonts w:ascii="宋体" w:hAnsi="宋体"/>
                <w:szCs w:val="21"/>
              </w:rPr>
            </w:pPr>
            <w:r>
              <w:rPr>
                <w:rFonts w:hint="eastAsia" w:ascii="宋体" w:hAnsi="宋体"/>
                <w:szCs w:val="21"/>
                <w:lang w:val="en-US" w:eastAsia="zh-CN"/>
              </w:rPr>
              <w:t>东面</w:t>
            </w:r>
          </w:p>
        </w:tc>
        <w:tc>
          <w:tcPr>
            <w:tcW w:w="1264" w:type="dxa"/>
            <w:vAlign w:val="center"/>
          </w:tcPr>
          <w:p w14:paraId="71220CFD">
            <w:pPr>
              <w:pStyle w:val="11"/>
              <w:spacing w:line="300" w:lineRule="exact"/>
              <w:ind w:firstLine="0" w:firstLineChars="0"/>
              <w:jc w:val="center"/>
              <w:rPr>
                <w:rFonts w:ascii="宋体" w:hAnsi="宋体"/>
                <w:sz w:val="21"/>
                <w:szCs w:val="21"/>
              </w:rPr>
            </w:pPr>
            <w:r>
              <w:rPr>
                <w:rFonts w:hint="eastAsia" w:ascii="宋体" w:hAnsi="宋体"/>
                <w:sz w:val="21"/>
                <w:szCs w:val="21"/>
              </w:rPr>
              <w:t>三类</w:t>
            </w:r>
          </w:p>
        </w:tc>
        <w:tc>
          <w:tcPr>
            <w:tcW w:w="1140" w:type="dxa"/>
            <w:vAlign w:val="center"/>
          </w:tcPr>
          <w:p w14:paraId="3CDA9818">
            <w:pPr>
              <w:pStyle w:val="11"/>
              <w:spacing w:line="300" w:lineRule="exact"/>
              <w:ind w:firstLine="460" w:firstLineChars="200"/>
              <w:rPr>
                <w:rFonts w:ascii="宋体" w:hAnsi="宋体"/>
                <w:sz w:val="21"/>
                <w:szCs w:val="21"/>
              </w:rPr>
            </w:pPr>
            <w:r>
              <w:rPr>
                <w:rFonts w:hint="eastAsia" w:ascii="宋体" w:hAnsi="宋体"/>
                <w:sz w:val="21"/>
                <w:szCs w:val="21"/>
                <w:lang w:val="en-US" w:eastAsia="zh-CN"/>
              </w:rPr>
              <w:t>7</w:t>
            </w:r>
          </w:p>
        </w:tc>
        <w:tc>
          <w:tcPr>
            <w:tcW w:w="1180" w:type="dxa"/>
            <w:vAlign w:val="center"/>
          </w:tcPr>
          <w:p w14:paraId="0D65C999">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15.5</w:t>
            </w:r>
          </w:p>
        </w:tc>
        <w:tc>
          <w:tcPr>
            <w:tcW w:w="950" w:type="dxa"/>
            <w:vAlign w:val="center"/>
          </w:tcPr>
          <w:p w14:paraId="7D8A9D00">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0412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1976095E">
            <w:pPr>
              <w:pStyle w:val="11"/>
              <w:spacing w:line="300" w:lineRule="exact"/>
              <w:ind w:firstLine="218" w:firstLineChars="95"/>
              <w:jc w:val="center"/>
              <w:rPr>
                <w:rFonts w:ascii="宋体" w:hAnsi="宋体"/>
                <w:sz w:val="21"/>
                <w:szCs w:val="21"/>
              </w:rPr>
            </w:pPr>
          </w:p>
        </w:tc>
        <w:tc>
          <w:tcPr>
            <w:tcW w:w="1157" w:type="dxa"/>
            <w:vMerge w:val="continue"/>
            <w:vAlign w:val="center"/>
          </w:tcPr>
          <w:p w14:paraId="0927CF6C">
            <w:pPr>
              <w:spacing w:line="300" w:lineRule="exact"/>
              <w:jc w:val="center"/>
              <w:rPr>
                <w:rFonts w:ascii="宋体" w:hAnsi="宋体"/>
                <w:szCs w:val="21"/>
              </w:rPr>
            </w:pPr>
          </w:p>
        </w:tc>
        <w:tc>
          <w:tcPr>
            <w:tcW w:w="934" w:type="dxa"/>
            <w:vAlign w:val="center"/>
          </w:tcPr>
          <w:p w14:paraId="344DC66D">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洗车机</w:t>
            </w:r>
          </w:p>
        </w:tc>
        <w:tc>
          <w:tcPr>
            <w:tcW w:w="849" w:type="dxa"/>
            <w:vAlign w:val="center"/>
          </w:tcPr>
          <w:p w14:paraId="66931A29">
            <w:pPr>
              <w:jc w:val="center"/>
              <w:rPr>
                <w:rFonts w:hint="eastAsia" w:ascii="宋体" w:hAnsi="宋体"/>
                <w:szCs w:val="21"/>
              </w:rPr>
            </w:pPr>
            <w:r>
              <w:rPr>
                <w:rFonts w:hint="eastAsia" w:ascii="宋体" w:hAnsi="宋体"/>
                <w:szCs w:val="21"/>
                <w:lang w:val="en-US" w:eastAsia="zh-CN"/>
              </w:rPr>
              <w:t>东面</w:t>
            </w:r>
          </w:p>
        </w:tc>
        <w:tc>
          <w:tcPr>
            <w:tcW w:w="1264" w:type="dxa"/>
            <w:vAlign w:val="center"/>
          </w:tcPr>
          <w:p w14:paraId="14F108FD">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140" w:type="dxa"/>
            <w:vAlign w:val="center"/>
          </w:tcPr>
          <w:p w14:paraId="28BC0C9D">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7</w:t>
            </w:r>
          </w:p>
        </w:tc>
        <w:tc>
          <w:tcPr>
            <w:tcW w:w="1180" w:type="dxa"/>
            <w:vAlign w:val="center"/>
          </w:tcPr>
          <w:p w14:paraId="4F37060F">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27.5</w:t>
            </w:r>
          </w:p>
        </w:tc>
        <w:tc>
          <w:tcPr>
            <w:tcW w:w="950" w:type="dxa"/>
            <w:vAlign w:val="center"/>
          </w:tcPr>
          <w:p w14:paraId="4EB43165">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3B64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2EC46B8D">
            <w:pPr>
              <w:pStyle w:val="11"/>
              <w:spacing w:line="300" w:lineRule="exact"/>
              <w:ind w:firstLine="218" w:firstLineChars="95"/>
              <w:jc w:val="center"/>
              <w:rPr>
                <w:rFonts w:ascii="宋体" w:hAnsi="宋体"/>
                <w:sz w:val="21"/>
                <w:szCs w:val="21"/>
              </w:rPr>
            </w:pPr>
          </w:p>
        </w:tc>
        <w:tc>
          <w:tcPr>
            <w:tcW w:w="1157" w:type="dxa"/>
            <w:vMerge w:val="continue"/>
            <w:vAlign w:val="center"/>
          </w:tcPr>
          <w:p w14:paraId="506342AF">
            <w:pPr>
              <w:spacing w:line="300" w:lineRule="exact"/>
              <w:jc w:val="center"/>
              <w:rPr>
                <w:rFonts w:ascii="宋体" w:hAnsi="宋体"/>
                <w:szCs w:val="21"/>
              </w:rPr>
            </w:pPr>
          </w:p>
        </w:tc>
        <w:tc>
          <w:tcPr>
            <w:tcW w:w="934" w:type="dxa"/>
            <w:vAlign w:val="center"/>
          </w:tcPr>
          <w:p w14:paraId="1F2C7043">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架空电力线</w:t>
            </w:r>
          </w:p>
        </w:tc>
        <w:tc>
          <w:tcPr>
            <w:tcW w:w="849" w:type="dxa"/>
            <w:vAlign w:val="center"/>
          </w:tcPr>
          <w:p w14:paraId="55013481">
            <w:pPr>
              <w:jc w:val="center"/>
              <w:rPr>
                <w:rFonts w:hint="eastAsia" w:ascii="宋体" w:hAnsi="宋体"/>
                <w:szCs w:val="21"/>
              </w:rPr>
            </w:pPr>
            <w:r>
              <w:rPr>
                <w:rFonts w:hint="eastAsia" w:ascii="宋体" w:hAnsi="宋体"/>
                <w:szCs w:val="21"/>
                <w:lang w:val="en-US" w:eastAsia="zh-CN"/>
              </w:rPr>
              <w:t>北面</w:t>
            </w:r>
          </w:p>
        </w:tc>
        <w:tc>
          <w:tcPr>
            <w:tcW w:w="1264" w:type="dxa"/>
            <w:vAlign w:val="center"/>
          </w:tcPr>
          <w:p w14:paraId="2B9F7AD8">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140" w:type="dxa"/>
            <w:vAlign w:val="center"/>
          </w:tcPr>
          <w:p w14:paraId="17B28A34">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5</w:t>
            </w:r>
          </w:p>
        </w:tc>
        <w:tc>
          <w:tcPr>
            <w:tcW w:w="1180" w:type="dxa"/>
            <w:vAlign w:val="center"/>
          </w:tcPr>
          <w:p w14:paraId="09B8E734">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25.6</w:t>
            </w:r>
          </w:p>
        </w:tc>
        <w:tc>
          <w:tcPr>
            <w:tcW w:w="950" w:type="dxa"/>
            <w:vAlign w:val="center"/>
          </w:tcPr>
          <w:p w14:paraId="302AF194">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7F1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930" w:type="dxa"/>
            <w:gridSpan w:val="2"/>
            <w:vAlign w:val="center"/>
          </w:tcPr>
          <w:p w14:paraId="04FD8CBE">
            <w:pPr>
              <w:pStyle w:val="17"/>
              <w:spacing w:line="300" w:lineRule="exact"/>
              <w:jc w:val="center"/>
              <w:rPr>
                <w:rFonts w:ascii="宋体" w:hAnsi="宋体"/>
                <w:szCs w:val="21"/>
              </w:rPr>
            </w:pPr>
            <w:r>
              <w:rPr>
                <w:rFonts w:hint="eastAsia" w:ascii="宋体" w:hAnsi="宋体"/>
                <w:szCs w:val="21"/>
              </w:rPr>
              <w:t>备注</w:t>
            </w:r>
          </w:p>
        </w:tc>
        <w:tc>
          <w:tcPr>
            <w:tcW w:w="6317" w:type="dxa"/>
            <w:gridSpan w:val="6"/>
            <w:vAlign w:val="center"/>
          </w:tcPr>
          <w:p w14:paraId="32B97C5F">
            <w:pPr>
              <w:widowControl/>
              <w:spacing w:line="300" w:lineRule="exact"/>
              <w:rPr>
                <w:rFonts w:ascii="宋体" w:hAnsi="宋体"/>
                <w:szCs w:val="21"/>
              </w:rPr>
            </w:pPr>
            <w:r>
              <w:rPr>
                <w:rFonts w:ascii="宋体" w:hAnsi="宋体"/>
                <w:szCs w:val="21"/>
              </w:rPr>
              <w:t>1.</w:t>
            </w:r>
            <w:r>
              <w:rPr>
                <w:rFonts w:hint="eastAsia" w:ascii="宋体" w:hAnsi="宋体"/>
                <w:szCs w:val="21"/>
              </w:rPr>
              <w:t>加油站为三级站、有卸油、加油油气回收系统；</w:t>
            </w:r>
          </w:p>
          <w:p w14:paraId="7617D6BB">
            <w:pPr>
              <w:widowControl/>
              <w:spacing w:line="300" w:lineRule="exact"/>
              <w:rPr>
                <w:rFonts w:ascii="宋体" w:hAnsi="宋体"/>
                <w:szCs w:val="21"/>
              </w:rPr>
            </w:pPr>
            <w:r>
              <w:rPr>
                <w:rFonts w:hint="eastAsia" w:ascii="宋体" w:hAnsi="宋体"/>
                <w:szCs w:val="21"/>
              </w:rPr>
              <w:t>2.</w:t>
            </w:r>
            <w:r>
              <w:rPr>
                <w:rFonts w:ascii="宋体" w:hAnsi="宋体"/>
                <w:szCs w:val="21"/>
              </w:rPr>
              <w:t>加油站除面向公路一侧开敞，其余几面拟设置实体围墙；</w:t>
            </w:r>
          </w:p>
          <w:p w14:paraId="6719663E">
            <w:pPr>
              <w:widowControl/>
              <w:spacing w:line="300" w:lineRule="exact"/>
              <w:rPr>
                <w:rFonts w:ascii="宋体" w:hAnsi="宋体"/>
                <w:szCs w:val="21"/>
              </w:rPr>
            </w:pPr>
            <w:r>
              <w:rPr>
                <w:rFonts w:hint="eastAsia" w:ascii="宋体" w:hAnsi="宋体"/>
                <w:szCs w:val="21"/>
              </w:rPr>
              <w:t>3.加油站周围无特殊名胜、风景、旅游，动植物及水生物保护区等环境保护敏感点。</w:t>
            </w:r>
          </w:p>
          <w:p w14:paraId="75F69DC5">
            <w:pPr>
              <w:widowControl/>
              <w:spacing w:line="300" w:lineRule="exact"/>
              <w:rPr>
                <w:rFonts w:hint="eastAsia" w:ascii="宋体" w:hAnsi="宋体"/>
                <w:szCs w:val="21"/>
              </w:rPr>
            </w:pPr>
            <w:r>
              <w:rPr>
                <w:rFonts w:hint="eastAsia" w:ascii="宋体" w:hAnsi="宋体"/>
                <w:szCs w:val="21"/>
              </w:rPr>
              <w:t>4</w:t>
            </w:r>
            <w:r>
              <w:rPr>
                <w:rFonts w:ascii="宋体" w:hAnsi="宋体"/>
                <w:szCs w:val="21"/>
              </w:rPr>
              <w:t>.其余建筑物防火距离不涉及。</w:t>
            </w:r>
          </w:p>
        </w:tc>
      </w:tr>
    </w:tbl>
    <w:p w14:paraId="3450E0C5">
      <w:pPr>
        <w:spacing w:line="360" w:lineRule="auto"/>
        <w:jc w:val="center"/>
        <w:rPr>
          <w:rFonts w:hint="eastAsia" w:ascii="宋体" w:hAnsi="宋体"/>
          <w:color w:val="000000"/>
          <w:sz w:val="24"/>
        </w:rPr>
      </w:pPr>
    </w:p>
    <w:p w14:paraId="09BC6A83">
      <w:pPr>
        <w:jc w:val="center"/>
        <w:rPr>
          <w:rFonts w:ascii="宋体" w:hAnsi="宋体"/>
          <w:bCs/>
          <w:color w:val="000000"/>
          <w:sz w:val="28"/>
          <w:szCs w:val="28"/>
        </w:rPr>
      </w:pPr>
      <w:r>
        <w:rPr>
          <w:rFonts w:hint="eastAsia" w:ascii="宋体" w:hAnsi="宋体"/>
          <w:bCs/>
          <w:color w:val="000000"/>
          <w:sz w:val="28"/>
          <w:szCs w:val="28"/>
        </w:rPr>
        <w:t>表</w:t>
      </w:r>
      <w:r>
        <w:rPr>
          <w:rFonts w:ascii="宋体" w:hAnsi="宋体"/>
          <w:bCs/>
          <w:color w:val="000000"/>
          <w:sz w:val="28"/>
          <w:szCs w:val="28"/>
        </w:rPr>
        <w:t>6-</w:t>
      </w:r>
      <w:r>
        <w:rPr>
          <w:rFonts w:hint="eastAsia" w:ascii="宋体" w:hAnsi="宋体"/>
          <w:bCs/>
          <w:color w:val="000000"/>
          <w:sz w:val="28"/>
          <w:szCs w:val="28"/>
        </w:rPr>
        <w:t>3柴油设备与站外建（构）筑物的安全间距对照检查表</w:t>
      </w:r>
    </w:p>
    <w:tbl>
      <w:tblPr>
        <w:tblStyle w:val="33"/>
        <w:tblW w:w="8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57"/>
        <w:gridCol w:w="934"/>
        <w:gridCol w:w="849"/>
        <w:gridCol w:w="1184"/>
        <w:gridCol w:w="1270"/>
        <w:gridCol w:w="1230"/>
        <w:gridCol w:w="1047"/>
      </w:tblGrid>
      <w:tr w14:paraId="6311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vAlign w:val="center"/>
          </w:tcPr>
          <w:p w14:paraId="41272A39">
            <w:pPr>
              <w:pStyle w:val="11"/>
              <w:spacing w:line="300" w:lineRule="exact"/>
              <w:ind w:firstLine="0" w:firstLineChars="0"/>
              <w:jc w:val="center"/>
              <w:rPr>
                <w:rFonts w:ascii="宋体" w:hAnsi="宋体"/>
                <w:sz w:val="21"/>
                <w:szCs w:val="21"/>
              </w:rPr>
            </w:pPr>
            <w:r>
              <w:rPr>
                <w:rFonts w:hint="eastAsia" w:ascii="宋体" w:hAnsi="宋体"/>
                <w:sz w:val="21"/>
                <w:szCs w:val="21"/>
              </w:rPr>
              <w:t>序号</w:t>
            </w:r>
          </w:p>
        </w:tc>
        <w:tc>
          <w:tcPr>
            <w:tcW w:w="1157" w:type="dxa"/>
            <w:vMerge w:val="restart"/>
            <w:vAlign w:val="center"/>
          </w:tcPr>
          <w:p w14:paraId="3D36BC2D">
            <w:pPr>
              <w:pStyle w:val="11"/>
              <w:spacing w:line="300" w:lineRule="exact"/>
              <w:ind w:firstLine="0" w:firstLineChars="0"/>
              <w:jc w:val="center"/>
              <w:rPr>
                <w:rFonts w:ascii="宋体" w:hAnsi="宋体"/>
                <w:sz w:val="21"/>
                <w:szCs w:val="21"/>
              </w:rPr>
            </w:pPr>
            <w:r>
              <w:rPr>
                <w:rFonts w:hint="eastAsia" w:ascii="宋体" w:hAnsi="宋体"/>
                <w:sz w:val="21"/>
                <w:szCs w:val="21"/>
              </w:rPr>
              <w:t>工艺设施</w:t>
            </w:r>
          </w:p>
        </w:tc>
        <w:tc>
          <w:tcPr>
            <w:tcW w:w="2967" w:type="dxa"/>
            <w:gridSpan w:val="3"/>
            <w:vAlign w:val="center"/>
          </w:tcPr>
          <w:p w14:paraId="24F8F4CF">
            <w:pPr>
              <w:pStyle w:val="11"/>
              <w:spacing w:line="300" w:lineRule="exact"/>
              <w:ind w:firstLine="460"/>
              <w:jc w:val="center"/>
              <w:rPr>
                <w:rFonts w:ascii="宋体" w:hAnsi="宋体"/>
                <w:sz w:val="21"/>
                <w:szCs w:val="21"/>
              </w:rPr>
            </w:pPr>
            <w:r>
              <w:rPr>
                <w:rFonts w:hint="eastAsia" w:ascii="宋体" w:hAnsi="宋体"/>
                <w:sz w:val="21"/>
                <w:szCs w:val="21"/>
              </w:rPr>
              <w:t>站外建、构筑物</w:t>
            </w:r>
          </w:p>
        </w:tc>
        <w:tc>
          <w:tcPr>
            <w:tcW w:w="2500" w:type="dxa"/>
            <w:gridSpan w:val="2"/>
            <w:vAlign w:val="center"/>
          </w:tcPr>
          <w:p w14:paraId="00B35D69">
            <w:pPr>
              <w:pStyle w:val="11"/>
              <w:spacing w:line="300" w:lineRule="exact"/>
              <w:ind w:firstLine="460"/>
              <w:jc w:val="center"/>
              <w:rPr>
                <w:rFonts w:ascii="宋体" w:hAnsi="宋体"/>
                <w:sz w:val="21"/>
                <w:szCs w:val="21"/>
              </w:rPr>
            </w:pPr>
            <w:r>
              <w:rPr>
                <w:rFonts w:hint="eastAsia" w:ascii="宋体" w:hAnsi="宋体"/>
                <w:sz w:val="21"/>
                <w:szCs w:val="21"/>
              </w:rPr>
              <w:t>防火距离(m)</w:t>
            </w:r>
          </w:p>
        </w:tc>
        <w:tc>
          <w:tcPr>
            <w:tcW w:w="1047" w:type="dxa"/>
            <w:vMerge w:val="restart"/>
            <w:vAlign w:val="center"/>
          </w:tcPr>
          <w:p w14:paraId="3A4221BB">
            <w:pPr>
              <w:pStyle w:val="11"/>
              <w:spacing w:line="300" w:lineRule="exact"/>
              <w:ind w:firstLine="460"/>
              <w:jc w:val="center"/>
              <w:rPr>
                <w:rFonts w:hint="eastAsia" w:ascii="宋体" w:hAnsi="宋体"/>
                <w:sz w:val="21"/>
                <w:szCs w:val="21"/>
              </w:rPr>
            </w:pPr>
          </w:p>
        </w:tc>
      </w:tr>
      <w:tr w14:paraId="01E2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1B5BD2F2">
            <w:pPr>
              <w:pStyle w:val="11"/>
              <w:spacing w:line="300" w:lineRule="exact"/>
              <w:ind w:firstLine="460"/>
              <w:jc w:val="center"/>
              <w:rPr>
                <w:rFonts w:ascii="宋体" w:hAnsi="宋体"/>
                <w:sz w:val="21"/>
                <w:szCs w:val="21"/>
              </w:rPr>
            </w:pPr>
          </w:p>
        </w:tc>
        <w:tc>
          <w:tcPr>
            <w:tcW w:w="1157" w:type="dxa"/>
            <w:vMerge w:val="continue"/>
            <w:vAlign w:val="center"/>
          </w:tcPr>
          <w:p w14:paraId="2439426A">
            <w:pPr>
              <w:pStyle w:val="11"/>
              <w:spacing w:line="300" w:lineRule="exact"/>
              <w:ind w:firstLine="460"/>
              <w:jc w:val="center"/>
              <w:rPr>
                <w:rFonts w:ascii="宋体" w:hAnsi="宋体"/>
                <w:sz w:val="21"/>
                <w:szCs w:val="21"/>
              </w:rPr>
            </w:pPr>
          </w:p>
        </w:tc>
        <w:tc>
          <w:tcPr>
            <w:tcW w:w="934" w:type="dxa"/>
            <w:vAlign w:val="center"/>
          </w:tcPr>
          <w:p w14:paraId="5E68BD3B">
            <w:pPr>
              <w:pStyle w:val="11"/>
              <w:spacing w:line="300" w:lineRule="exact"/>
              <w:ind w:firstLine="0" w:firstLineChars="0"/>
              <w:jc w:val="center"/>
              <w:rPr>
                <w:rFonts w:ascii="宋体" w:hAnsi="宋体"/>
                <w:sz w:val="21"/>
                <w:szCs w:val="21"/>
              </w:rPr>
            </w:pPr>
            <w:r>
              <w:rPr>
                <w:rFonts w:hint="eastAsia" w:ascii="宋体" w:hAnsi="宋体"/>
                <w:sz w:val="21"/>
                <w:szCs w:val="21"/>
              </w:rPr>
              <w:t>名称</w:t>
            </w:r>
          </w:p>
        </w:tc>
        <w:tc>
          <w:tcPr>
            <w:tcW w:w="849" w:type="dxa"/>
            <w:vAlign w:val="center"/>
          </w:tcPr>
          <w:p w14:paraId="3B37B181">
            <w:pPr>
              <w:pStyle w:val="11"/>
              <w:spacing w:line="300" w:lineRule="exact"/>
              <w:ind w:firstLine="0" w:firstLineChars="0"/>
              <w:rPr>
                <w:rFonts w:ascii="宋体" w:hAnsi="宋体"/>
                <w:sz w:val="21"/>
                <w:szCs w:val="21"/>
              </w:rPr>
            </w:pPr>
            <w:r>
              <w:rPr>
                <w:rFonts w:hint="eastAsia" w:ascii="宋体" w:hAnsi="宋体"/>
                <w:sz w:val="21"/>
                <w:szCs w:val="21"/>
              </w:rPr>
              <w:t>方位</w:t>
            </w:r>
          </w:p>
        </w:tc>
        <w:tc>
          <w:tcPr>
            <w:tcW w:w="1184" w:type="dxa"/>
            <w:vAlign w:val="center"/>
          </w:tcPr>
          <w:p w14:paraId="7CD9C82C">
            <w:pPr>
              <w:pStyle w:val="11"/>
              <w:spacing w:line="300" w:lineRule="exact"/>
              <w:ind w:firstLine="218" w:firstLineChars="95"/>
              <w:rPr>
                <w:rFonts w:ascii="宋体" w:hAnsi="宋体"/>
                <w:sz w:val="21"/>
                <w:szCs w:val="21"/>
              </w:rPr>
            </w:pPr>
            <w:r>
              <w:rPr>
                <w:rFonts w:hint="eastAsia" w:ascii="宋体" w:hAnsi="宋体"/>
                <w:sz w:val="21"/>
                <w:szCs w:val="21"/>
              </w:rPr>
              <w:t>类别</w:t>
            </w:r>
          </w:p>
        </w:tc>
        <w:tc>
          <w:tcPr>
            <w:tcW w:w="1270" w:type="dxa"/>
            <w:vAlign w:val="center"/>
          </w:tcPr>
          <w:p w14:paraId="7FE67C47">
            <w:pPr>
              <w:pStyle w:val="11"/>
              <w:spacing w:line="300" w:lineRule="exact"/>
              <w:ind w:left="230" w:hanging="230" w:hangingChars="100"/>
              <w:jc w:val="center"/>
              <w:rPr>
                <w:rFonts w:ascii="宋体" w:hAnsi="宋体"/>
                <w:sz w:val="21"/>
                <w:szCs w:val="21"/>
              </w:rPr>
            </w:pPr>
            <w:r>
              <w:rPr>
                <w:rFonts w:hint="eastAsia" w:ascii="宋体" w:hAnsi="宋体"/>
                <w:sz w:val="21"/>
                <w:szCs w:val="21"/>
              </w:rPr>
              <w:t>规范要求</w:t>
            </w:r>
          </w:p>
        </w:tc>
        <w:tc>
          <w:tcPr>
            <w:tcW w:w="1230" w:type="dxa"/>
            <w:vAlign w:val="center"/>
          </w:tcPr>
          <w:p w14:paraId="4B3CCA0E">
            <w:pPr>
              <w:pStyle w:val="11"/>
              <w:spacing w:line="300" w:lineRule="exact"/>
              <w:ind w:left="230" w:hanging="230" w:hangingChars="100"/>
              <w:jc w:val="center"/>
              <w:rPr>
                <w:rFonts w:ascii="宋体" w:hAnsi="宋体"/>
                <w:sz w:val="21"/>
                <w:szCs w:val="21"/>
              </w:rPr>
            </w:pPr>
            <w:r>
              <w:rPr>
                <w:rFonts w:hint="eastAsia" w:ascii="宋体" w:hAnsi="宋体"/>
                <w:sz w:val="21"/>
                <w:szCs w:val="21"/>
              </w:rPr>
              <w:t>实际距离</w:t>
            </w:r>
          </w:p>
        </w:tc>
        <w:tc>
          <w:tcPr>
            <w:tcW w:w="1047" w:type="dxa"/>
            <w:vMerge w:val="continue"/>
            <w:vAlign w:val="center"/>
          </w:tcPr>
          <w:p w14:paraId="269A2113">
            <w:pPr>
              <w:pStyle w:val="11"/>
              <w:spacing w:line="300" w:lineRule="exact"/>
              <w:ind w:left="230" w:hanging="230" w:hangingChars="100"/>
              <w:jc w:val="center"/>
              <w:rPr>
                <w:rFonts w:hint="eastAsia" w:ascii="宋体" w:hAnsi="宋体"/>
                <w:sz w:val="21"/>
                <w:szCs w:val="21"/>
              </w:rPr>
            </w:pPr>
          </w:p>
        </w:tc>
      </w:tr>
      <w:tr w14:paraId="4380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restart"/>
            <w:vAlign w:val="center"/>
          </w:tcPr>
          <w:p w14:paraId="0E47144E">
            <w:pPr>
              <w:pStyle w:val="11"/>
              <w:spacing w:line="300" w:lineRule="exact"/>
              <w:ind w:firstLine="218" w:firstLineChars="95"/>
              <w:jc w:val="center"/>
              <w:rPr>
                <w:rFonts w:hint="eastAsia" w:ascii="宋体" w:hAnsi="宋体" w:eastAsia="宋体"/>
                <w:sz w:val="21"/>
                <w:szCs w:val="21"/>
                <w:lang w:eastAsia="zh-CN"/>
              </w:rPr>
            </w:pPr>
            <w:r>
              <w:rPr>
                <w:rFonts w:hint="eastAsia" w:ascii="宋体" w:hAnsi="宋体"/>
                <w:sz w:val="21"/>
                <w:szCs w:val="21"/>
                <w:lang w:eastAsia="zh-CN"/>
              </w:rPr>
              <w:t>1</w:t>
            </w:r>
          </w:p>
        </w:tc>
        <w:tc>
          <w:tcPr>
            <w:tcW w:w="1157" w:type="dxa"/>
            <w:vMerge w:val="restart"/>
            <w:vAlign w:val="center"/>
          </w:tcPr>
          <w:p w14:paraId="4247A8EE">
            <w:pPr>
              <w:pStyle w:val="11"/>
              <w:spacing w:line="300" w:lineRule="exact"/>
              <w:ind w:firstLine="0" w:firstLineChars="0"/>
              <w:jc w:val="center"/>
              <w:rPr>
                <w:rFonts w:ascii="宋体" w:hAnsi="宋体"/>
                <w:sz w:val="21"/>
                <w:szCs w:val="21"/>
              </w:rPr>
            </w:pPr>
            <w:r>
              <w:rPr>
                <w:rFonts w:hint="eastAsia" w:ascii="宋体" w:hAnsi="宋体"/>
                <w:sz w:val="21"/>
                <w:szCs w:val="21"/>
              </w:rPr>
              <w:t>埋地油罐</w:t>
            </w:r>
          </w:p>
        </w:tc>
        <w:tc>
          <w:tcPr>
            <w:tcW w:w="934" w:type="dxa"/>
            <w:vAlign w:val="center"/>
          </w:tcPr>
          <w:p w14:paraId="012B4F6B">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59D00210">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184" w:type="dxa"/>
            <w:vAlign w:val="center"/>
          </w:tcPr>
          <w:p w14:paraId="58795B6B">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主</w:t>
            </w:r>
            <w:r>
              <w:rPr>
                <w:rFonts w:hint="eastAsia" w:ascii="宋体" w:hAnsi="宋体"/>
                <w:sz w:val="21"/>
                <w:szCs w:val="21"/>
              </w:rPr>
              <w:t>干路</w:t>
            </w:r>
          </w:p>
        </w:tc>
        <w:tc>
          <w:tcPr>
            <w:tcW w:w="1270" w:type="dxa"/>
            <w:vAlign w:val="center"/>
          </w:tcPr>
          <w:p w14:paraId="7DD4A403">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3</w:t>
            </w:r>
          </w:p>
        </w:tc>
        <w:tc>
          <w:tcPr>
            <w:tcW w:w="1230" w:type="dxa"/>
            <w:vAlign w:val="center"/>
          </w:tcPr>
          <w:p w14:paraId="5799BB1D">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20.4</w:t>
            </w:r>
          </w:p>
        </w:tc>
        <w:tc>
          <w:tcPr>
            <w:tcW w:w="1047" w:type="dxa"/>
            <w:vAlign w:val="center"/>
          </w:tcPr>
          <w:p w14:paraId="300CC2DE">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符合</w:t>
            </w:r>
          </w:p>
        </w:tc>
      </w:tr>
      <w:tr w14:paraId="7DE9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37F87255">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6D5AAC52">
            <w:pPr>
              <w:pStyle w:val="11"/>
              <w:spacing w:line="300" w:lineRule="exact"/>
              <w:ind w:firstLine="0" w:firstLineChars="0"/>
              <w:jc w:val="center"/>
              <w:rPr>
                <w:rFonts w:hint="eastAsia" w:ascii="宋体" w:hAnsi="宋体"/>
                <w:sz w:val="21"/>
                <w:szCs w:val="21"/>
              </w:rPr>
            </w:pPr>
          </w:p>
        </w:tc>
        <w:tc>
          <w:tcPr>
            <w:tcW w:w="934" w:type="dxa"/>
            <w:vAlign w:val="center"/>
          </w:tcPr>
          <w:p w14:paraId="6733513C">
            <w:pPr>
              <w:pStyle w:val="11"/>
              <w:spacing w:line="300" w:lineRule="exact"/>
              <w:ind w:firstLine="0" w:firstLineChars="0"/>
              <w:jc w:val="center"/>
              <w:rPr>
                <w:rFonts w:hint="eastAsia" w:ascii="宋体" w:hAnsi="宋体" w:eastAsia="宋体"/>
                <w:sz w:val="21"/>
                <w:szCs w:val="21"/>
                <w:lang w:val="en-US" w:eastAsia="zh-CN"/>
              </w:rPr>
            </w:pPr>
            <w:r>
              <w:rPr>
                <w:rFonts w:hint="eastAsia" w:ascii="宋体" w:hAnsi="宋体"/>
                <w:sz w:val="21"/>
                <w:szCs w:val="21"/>
                <w:lang w:val="en-US" w:eastAsia="zh-CN"/>
              </w:rPr>
              <w:t>民房</w:t>
            </w:r>
          </w:p>
        </w:tc>
        <w:tc>
          <w:tcPr>
            <w:tcW w:w="849" w:type="dxa"/>
            <w:vAlign w:val="center"/>
          </w:tcPr>
          <w:p w14:paraId="230E2EE9">
            <w:pPr>
              <w:jc w:val="center"/>
              <w:rPr>
                <w:rFonts w:hint="default" w:ascii="宋体" w:hAnsi="宋体" w:eastAsia="宋体"/>
                <w:szCs w:val="21"/>
                <w:lang w:val="en-US" w:eastAsia="zh-CN"/>
              </w:rPr>
            </w:pPr>
            <w:r>
              <w:rPr>
                <w:rFonts w:hint="eastAsia" w:ascii="宋体" w:hAnsi="宋体"/>
                <w:szCs w:val="21"/>
                <w:lang w:val="en-US" w:eastAsia="zh-CN"/>
              </w:rPr>
              <w:t>东面</w:t>
            </w:r>
          </w:p>
        </w:tc>
        <w:tc>
          <w:tcPr>
            <w:tcW w:w="1184" w:type="dxa"/>
            <w:vAlign w:val="center"/>
          </w:tcPr>
          <w:p w14:paraId="0B9E41B8">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0" w:type="dxa"/>
            <w:vAlign w:val="center"/>
          </w:tcPr>
          <w:p w14:paraId="00971827">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6</w:t>
            </w:r>
          </w:p>
        </w:tc>
        <w:tc>
          <w:tcPr>
            <w:tcW w:w="1230" w:type="dxa"/>
            <w:vAlign w:val="center"/>
          </w:tcPr>
          <w:p w14:paraId="116C76F5">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7.2</w:t>
            </w:r>
          </w:p>
        </w:tc>
        <w:tc>
          <w:tcPr>
            <w:tcW w:w="1047" w:type="dxa"/>
            <w:vAlign w:val="center"/>
          </w:tcPr>
          <w:p w14:paraId="4F498C79">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30E7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08138BF6">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466BF86A">
            <w:pPr>
              <w:pStyle w:val="11"/>
              <w:spacing w:line="300" w:lineRule="exact"/>
              <w:ind w:firstLine="0" w:firstLineChars="0"/>
              <w:jc w:val="center"/>
              <w:rPr>
                <w:rFonts w:hint="eastAsia" w:ascii="宋体" w:hAnsi="宋体"/>
                <w:sz w:val="21"/>
                <w:szCs w:val="21"/>
              </w:rPr>
            </w:pPr>
          </w:p>
        </w:tc>
        <w:tc>
          <w:tcPr>
            <w:tcW w:w="934" w:type="dxa"/>
            <w:vAlign w:val="center"/>
          </w:tcPr>
          <w:p w14:paraId="36EE7E1A">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洗车机</w:t>
            </w:r>
          </w:p>
        </w:tc>
        <w:tc>
          <w:tcPr>
            <w:tcW w:w="849" w:type="dxa"/>
            <w:vAlign w:val="center"/>
          </w:tcPr>
          <w:p w14:paraId="1E918BD0">
            <w:pPr>
              <w:jc w:val="center"/>
              <w:rPr>
                <w:rFonts w:hint="eastAsia" w:ascii="宋体" w:hAnsi="宋体"/>
                <w:szCs w:val="21"/>
                <w:lang w:val="en-US" w:eastAsia="zh-CN"/>
              </w:rPr>
            </w:pPr>
            <w:r>
              <w:rPr>
                <w:rFonts w:hint="eastAsia" w:ascii="宋体" w:hAnsi="宋体"/>
                <w:szCs w:val="21"/>
                <w:lang w:val="en-US" w:eastAsia="zh-CN"/>
              </w:rPr>
              <w:t>东面</w:t>
            </w:r>
          </w:p>
        </w:tc>
        <w:tc>
          <w:tcPr>
            <w:tcW w:w="1184" w:type="dxa"/>
            <w:vAlign w:val="center"/>
          </w:tcPr>
          <w:p w14:paraId="57805462">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0" w:type="dxa"/>
            <w:vAlign w:val="center"/>
          </w:tcPr>
          <w:p w14:paraId="51CCA7DE">
            <w:pPr>
              <w:pStyle w:val="11"/>
              <w:spacing w:line="300" w:lineRule="exact"/>
              <w:ind w:firstLine="460"/>
              <w:rPr>
                <w:rFonts w:hint="eastAsia" w:ascii="宋体" w:hAnsi="宋体" w:eastAsia="宋体"/>
                <w:sz w:val="21"/>
                <w:szCs w:val="21"/>
                <w:lang w:val="en-US" w:eastAsia="zh-CN"/>
              </w:rPr>
            </w:pPr>
            <w:r>
              <w:rPr>
                <w:rFonts w:hint="eastAsia" w:ascii="宋体" w:hAnsi="宋体"/>
                <w:sz w:val="21"/>
                <w:szCs w:val="21"/>
                <w:lang w:val="en-US" w:eastAsia="zh-CN"/>
              </w:rPr>
              <w:t>6</w:t>
            </w:r>
          </w:p>
        </w:tc>
        <w:tc>
          <w:tcPr>
            <w:tcW w:w="1230" w:type="dxa"/>
            <w:vAlign w:val="center"/>
          </w:tcPr>
          <w:p w14:paraId="0333EA1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15.2</w:t>
            </w:r>
          </w:p>
        </w:tc>
        <w:tc>
          <w:tcPr>
            <w:tcW w:w="1047" w:type="dxa"/>
            <w:vAlign w:val="center"/>
          </w:tcPr>
          <w:p w14:paraId="6BE40403">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EFC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vAlign w:val="center"/>
          </w:tcPr>
          <w:p w14:paraId="1339689B">
            <w:pPr>
              <w:pStyle w:val="11"/>
              <w:spacing w:line="300" w:lineRule="exact"/>
              <w:ind w:firstLine="218" w:firstLineChars="95"/>
              <w:jc w:val="center"/>
              <w:rPr>
                <w:rFonts w:hint="default" w:ascii="宋体" w:hAnsi="宋体"/>
                <w:sz w:val="21"/>
                <w:szCs w:val="21"/>
                <w:lang w:val="en-US"/>
              </w:rPr>
            </w:pPr>
          </w:p>
        </w:tc>
        <w:tc>
          <w:tcPr>
            <w:tcW w:w="1157" w:type="dxa"/>
            <w:vMerge w:val="continue"/>
            <w:vAlign w:val="center"/>
          </w:tcPr>
          <w:p w14:paraId="54F3C950">
            <w:pPr>
              <w:pStyle w:val="11"/>
              <w:spacing w:line="300" w:lineRule="exact"/>
              <w:ind w:firstLine="0" w:firstLineChars="0"/>
              <w:jc w:val="center"/>
              <w:rPr>
                <w:rFonts w:hint="eastAsia" w:ascii="宋体" w:hAnsi="宋体"/>
                <w:sz w:val="21"/>
                <w:szCs w:val="21"/>
              </w:rPr>
            </w:pPr>
          </w:p>
        </w:tc>
        <w:tc>
          <w:tcPr>
            <w:tcW w:w="934" w:type="dxa"/>
            <w:vAlign w:val="center"/>
          </w:tcPr>
          <w:p w14:paraId="41434A87">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架空电力线</w:t>
            </w:r>
          </w:p>
        </w:tc>
        <w:tc>
          <w:tcPr>
            <w:tcW w:w="849" w:type="dxa"/>
            <w:vAlign w:val="center"/>
          </w:tcPr>
          <w:p w14:paraId="4B0432D9">
            <w:pPr>
              <w:jc w:val="center"/>
              <w:rPr>
                <w:rFonts w:hint="default" w:ascii="宋体" w:hAnsi="宋体"/>
                <w:szCs w:val="21"/>
                <w:lang w:val="en-US" w:eastAsia="zh-CN"/>
              </w:rPr>
            </w:pPr>
            <w:r>
              <w:rPr>
                <w:rFonts w:hint="eastAsia" w:ascii="宋体" w:hAnsi="宋体"/>
                <w:szCs w:val="21"/>
                <w:lang w:val="en-US" w:eastAsia="zh-CN"/>
              </w:rPr>
              <w:t>北面</w:t>
            </w:r>
          </w:p>
        </w:tc>
        <w:tc>
          <w:tcPr>
            <w:tcW w:w="1184" w:type="dxa"/>
            <w:vAlign w:val="center"/>
          </w:tcPr>
          <w:p w14:paraId="79FCEA15">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70" w:type="dxa"/>
            <w:vAlign w:val="center"/>
          </w:tcPr>
          <w:p w14:paraId="26E2D5E1">
            <w:pPr>
              <w:pStyle w:val="11"/>
              <w:spacing w:line="300" w:lineRule="exact"/>
              <w:ind w:firstLine="460"/>
              <w:rPr>
                <w:rFonts w:hint="default" w:ascii="宋体" w:hAnsi="宋体"/>
                <w:sz w:val="21"/>
                <w:szCs w:val="21"/>
                <w:lang w:val="en-US" w:eastAsia="zh-CN"/>
              </w:rPr>
            </w:pPr>
            <w:r>
              <w:rPr>
                <w:rFonts w:hint="eastAsia" w:ascii="宋体" w:hAnsi="宋体"/>
                <w:sz w:val="21"/>
                <w:szCs w:val="21"/>
                <w:lang w:val="en-US" w:eastAsia="zh-CN"/>
              </w:rPr>
              <w:t>5</w:t>
            </w:r>
          </w:p>
        </w:tc>
        <w:tc>
          <w:tcPr>
            <w:tcW w:w="1230" w:type="dxa"/>
            <w:vAlign w:val="center"/>
          </w:tcPr>
          <w:p w14:paraId="7FCBCFEB">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38</w:t>
            </w:r>
          </w:p>
        </w:tc>
        <w:tc>
          <w:tcPr>
            <w:tcW w:w="1047" w:type="dxa"/>
            <w:vAlign w:val="center"/>
          </w:tcPr>
          <w:p w14:paraId="7ABEEF15">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757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restart"/>
            <w:vAlign w:val="center"/>
          </w:tcPr>
          <w:p w14:paraId="196D701C">
            <w:pPr>
              <w:pStyle w:val="11"/>
              <w:spacing w:line="300" w:lineRule="exact"/>
              <w:ind w:firstLine="218" w:firstLineChars="95"/>
              <w:jc w:val="center"/>
              <w:rPr>
                <w:rFonts w:ascii="宋体" w:hAnsi="宋体"/>
                <w:sz w:val="21"/>
                <w:szCs w:val="21"/>
              </w:rPr>
            </w:pPr>
            <w:r>
              <w:rPr>
                <w:rFonts w:hint="eastAsia" w:ascii="宋体" w:hAnsi="宋体"/>
                <w:sz w:val="21"/>
                <w:szCs w:val="21"/>
              </w:rPr>
              <w:t>2</w:t>
            </w:r>
          </w:p>
        </w:tc>
        <w:tc>
          <w:tcPr>
            <w:tcW w:w="1157" w:type="dxa"/>
            <w:vMerge w:val="restart"/>
            <w:vAlign w:val="center"/>
          </w:tcPr>
          <w:p w14:paraId="1FCA74C9">
            <w:pPr>
              <w:pStyle w:val="11"/>
              <w:spacing w:line="300" w:lineRule="exact"/>
              <w:ind w:firstLine="0" w:firstLineChars="0"/>
              <w:jc w:val="center"/>
              <w:rPr>
                <w:rFonts w:ascii="宋体" w:hAnsi="宋体"/>
                <w:sz w:val="21"/>
                <w:szCs w:val="21"/>
              </w:rPr>
            </w:pPr>
            <w:r>
              <w:rPr>
                <w:rFonts w:hint="eastAsia" w:ascii="宋体" w:hAnsi="宋体"/>
                <w:sz w:val="21"/>
                <w:szCs w:val="21"/>
              </w:rPr>
              <w:t>通气管口</w:t>
            </w:r>
          </w:p>
        </w:tc>
        <w:tc>
          <w:tcPr>
            <w:tcW w:w="934" w:type="dxa"/>
            <w:vAlign w:val="center"/>
          </w:tcPr>
          <w:p w14:paraId="7F175EF9">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1A7D8793">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184" w:type="dxa"/>
            <w:vAlign w:val="center"/>
          </w:tcPr>
          <w:p w14:paraId="692ABF1F">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主</w:t>
            </w:r>
            <w:r>
              <w:rPr>
                <w:rFonts w:hint="eastAsia" w:ascii="宋体" w:hAnsi="宋体"/>
                <w:sz w:val="21"/>
                <w:szCs w:val="21"/>
              </w:rPr>
              <w:t>干路</w:t>
            </w:r>
          </w:p>
        </w:tc>
        <w:tc>
          <w:tcPr>
            <w:tcW w:w="1270" w:type="dxa"/>
            <w:vAlign w:val="center"/>
          </w:tcPr>
          <w:p w14:paraId="3AA913DF">
            <w:pPr>
              <w:pStyle w:val="11"/>
              <w:spacing w:line="300" w:lineRule="exact"/>
              <w:ind w:firstLine="460" w:firstLineChars="200"/>
              <w:rPr>
                <w:rFonts w:ascii="宋体" w:hAnsi="宋体"/>
                <w:sz w:val="21"/>
                <w:szCs w:val="21"/>
              </w:rPr>
            </w:pPr>
            <w:r>
              <w:rPr>
                <w:rFonts w:ascii="宋体" w:hAnsi="宋体"/>
                <w:sz w:val="21"/>
                <w:szCs w:val="21"/>
              </w:rPr>
              <w:t>5</w:t>
            </w:r>
            <w:r>
              <w:rPr>
                <w:rFonts w:hint="eastAsia" w:ascii="宋体" w:hAnsi="宋体"/>
                <w:sz w:val="21"/>
                <w:szCs w:val="21"/>
                <w:lang w:val="en-US" w:eastAsia="zh-CN"/>
              </w:rPr>
              <w:t>.5</w:t>
            </w:r>
          </w:p>
        </w:tc>
        <w:tc>
          <w:tcPr>
            <w:tcW w:w="1230" w:type="dxa"/>
            <w:vAlign w:val="center"/>
          </w:tcPr>
          <w:p w14:paraId="4EBEF46F">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16.4</w:t>
            </w:r>
          </w:p>
        </w:tc>
        <w:tc>
          <w:tcPr>
            <w:tcW w:w="1047" w:type="dxa"/>
            <w:vAlign w:val="center"/>
          </w:tcPr>
          <w:p w14:paraId="49E14452">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42A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140BB27A">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02CACEE1">
            <w:pPr>
              <w:pStyle w:val="11"/>
              <w:spacing w:line="300" w:lineRule="exact"/>
              <w:ind w:firstLine="0" w:firstLineChars="0"/>
              <w:jc w:val="center"/>
              <w:rPr>
                <w:rFonts w:hint="eastAsia" w:ascii="宋体" w:hAnsi="宋体"/>
                <w:sz w:val="21"/>
                <w:szCs w:val="21"/>
              </w:rPr>
            </w:pPr>
          </w:p>
        </w:tc>
        <w:tc>
          <w:tcPr>
            <w:tcW w:w="934" w:type="dxa"/>
            <w:vAlign w:val="center"/>
          </w:tcPr>
          <w:p w14:paraId="5A4EDF04">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民房</w:t>
            </w:r>
          </w:p>
        </w:tc>
        <w:tc>
          <w:tcPr>
            <w:tcW w:w="849" w:type="dxa"/>
            <w:vAlign w:val="center"/>
          </w:tcPr>
          <w:p w14:paraId="3056E158">
            <w:pPr>
              <w:jc w:val="center"/>
              <w:rPr>
                <w:rFonts w:hint="eastAsia" w:ascii="宋体" w:hAnsi="宋体"/>
                <w:szCs w:val="21"/>
              </w:rPr>
            </w:pPr>
            <w:r>
              <w:rPr>
                <w:rFonts w:hint="eastAsia" w:ascii="宋体" w:hAnsi="宋体"/>
                <w:szCs w:val="21"/>
                <w:lang w:val="en-US" w:eastAsia="zh-CN"/>
              </w:rPr>
              <w:t>东面</w:t>
            </w:r>
          </w:p>
        </w:tc>
        <w:tc>
          <w:tcPr>
            <w:tcW w:w="1184" w:type="dxa"/>
            <w:vAlign w:val="center"/>
          </w:tcPr>
          <w:p w14:paraId="14A14627">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0" w:type="dxa"/>
            <w:vAlign w:val="center"/>
          </w:tcPr>
          <w:p w14:paraId="2AB3C582">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6</w:t>
            </w:r>
          </w:p>
        </w:tc>
        <w:tc>
          <w:tcPr>
            <w:tcW w:w="1230" w:type="dxa"/>
            <w:vAlign w:val="center"/>
          </w:tcPr>
          <w:p w14:paraId="298CB800">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19.5</w:t>
            </w:r>
          </w:p>
        </w:tc>
        <w:tc>
          <w:tcPr>
            <w:tcW w:w="1047" w:type="dxa"/>
            <w:vAlign w:val="center"/>
          </w:tcPr>
          <w:p w14:paraId="4E46502F">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6007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16AE79FF">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3F9C119D">
            <w:pPr>
              <w:pStyle w:val="11"/>
              <w:spacing w:line="300" w:lineRule="exact"/>
              <w:ind w:firstLine="0" w:firstLineChars="0"/>
              <w:jc w:val="center"/>
              <w:rPr>
                <w:rFonts w:hint="eastAsia" w:ascii="宋体" w:hAnsi="宋体"/>
                <w:sz w:val="21"/>
                <w:szCs w:val="21"/>
              </w:rPr>
            </w:pPr>
          </w:p>
        </w:tc>
        <w:tc>
          <w:tcPr>
            <w:tcW w:w="934" w:type="dxa"/>
            <w:vAlign w:val="center"/>
          </w:tcPr>
          <w:p w14:paraId="4239B152">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洗车机</w:t>
            </w:r>
          </w:p>
        </w:tc>
        <w:tc>
          <w:tcPr>
            <w:tcW w:w="849" w:type="dxa"/>
            <w:vAlign w:val="center"/>
          </w:tcPr>
          <w:p w14:paraId="46B2D531">
            <w:pPr>
              <w:jc w:val="center"/>
              <w:rPr>
                <w:rFonts w:hint="eastAsia" w:ascii="宋体" w:hAnsi="宋体"/>
                <w:szCs w:val="21"/>
              </w:rPr>
            </w:pPr>
            <w:r>
              <w:rPr>
                <w:rFonts w:hint="eastAsia" w:ascii="宋体" w:hAnsi="宋体"/>
                <w:szCs w:val="21"/>
                <w:lang w:val="en-US" w:eastAsia="zh-CN"/>
              </w:rPr>
              <w:t>东面</w:t>
            </w:r>
          </w:p>
        </w:tc>
        <w:tc>
          <w:tcPr>
            <w:tcW w:w="1184" w:type="dxa"/>
            <w:vAlign w:val="center"/>
          </w:tcPr>
          <w:p w14:paraId="50E3A241">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0" w:type="dxa"/>
            <w:vAlign w:val="center"/>
          </w:tcPr>
          <w:p w14:paraId="5C8B796B">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6</w:t>
            </w:r>
          </w:p>
        </w:tc>
        <w:tc>
          <w:tcPr>
            <w:tcW w:w="1230" w:type="dxa"/>
            <w:vAlign w:val="center"/>
          </w:tcPr>
          <w:p w14:paraId="3A77057B">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13.3</w:t>
            </w:r>
          </w:p>
        </w:tc>
        <w:tc>
          <w:tcPr>
            <w:tcW w:w="1047" w:type="dxa"/>
            <w:vAlign w:val="center"/>
          </w:tcPr>
          <w:p w14:paraId="1DCE9501">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6974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vAlign w:val="center"/>
          </w:tcPr>
          <w:p w14:paraId="084EEB0E">
            <w:pPr>
              <w:pStyle w:val="11"/>
              <w:spacing w:line="300" w:lineRule="exact"/>
              <w:ind w:firstLine="218" w:firstLineChars="95"/>
              <w:jc w:val="center"/>
              <w:rPr>
                <w:rFonts w:hint="eastAsia" w:ascii="宋体" w:hAnsi="宋体"/>
                <w:sz w:val="21"/>
                <w:szCs w:val="21"/>
              </w:rPr>
            </w:pPr>
          </w:p>
        </w:tc>
        <w:tc>
          <w:tcPr>
            <w:tcW w:w="1157" w:type="dxa"/>
            <w:vMerge w:val="continue"/>
            <w:vAlign w:val="center"/>
          </w:tcPr>
          <w:p w14:paraId="0C2D6429">
            <w:pPr>
              <w:pStyle w:val="11"/>
              <w:spacing w:line="300" w:lineRule="exact"/>
              <w:ind w:firstLine="0" w:firstLineChars="0"/>
              <w:jc w:val="center"/>
              <w:rPr>
                <w:rFonts w:hint="eastAsia" w:ascii="宋体" w:hAnsi="宋体"/>
                <w:sz w:val="21"/>
                <w:szCs w:val="21"/>
              </w:rPr>
            </w:pPr>
          </w:p>
        </w:tc>
        <w:tc>
          <w:tcPr>
            <w:tcW w:w="934" w:type="dxa"/>
            <w:vAlign w:val="center"/>
          </w:tcPr>
          <w:p w14:paraId="0465F0F1">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架空电力线</w:t>
            </w:r>
          </w:p>
        </w:tc>
        <w:tc>
          <w:tcPr>
            <w:tcW w:w="849" w:type="dxa"/>
            <w:vAlign w:val="center"/>
          </w:tcPr>
          <w:p w14:paraId="226CF425">
            <w:pPr>
              <w:jc w:val="center"/>
              <w:rPr>
                <w:rFonts w:hint="eastAsia" w:ascii="宋体" w:hAnsi="宋体"/>
                <w:szCs w:val="21"/>
              </w:rPr>
            </w:pPr>
            <w:r>
              <w:rPr>
                <w:rFonts w:hint="eastAsia" w:ascii="宋体" w:hAnsi="宋体"/>
                <w:szCs w:val="21"/>
                <w:lang w:val="en-US" w:eastAsia="zh-CN"/>
              </w:rPr>
              <w:t>北面</w:t>
            </w:r>
          </w:p>
        </w:tc>
        <w:tc>
          <w:tcPr>
            <w:tcW w:w="1184" w:type="dxa"/>
            <w:vAlign w:val="center"/>
          </w:tcPr>
          <w:p w14:paraId="2E6896FB">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70" w:type="dxa"/>
            <w:vAlign w:val="center"/>
          </w:tcPr>
          <w:p w14:paraId="1D77B03A">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5</w:t>
            </w:r>
          </w:p>
        </w:tc>
        <w:tc>
          <w:tcPr>
            <w:tcW w:w="1230" w:type="dxa"/>
            <w:vAlign w:val="center"/>
          </w:tcPr>
          <w:p w14:paraId="58E5C7D4">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33.8</w:t>
            </w:r>
          </w:p>
        </w:tc>
        <w:tc>
          <w:tcPr>
            <w:tcW w:w="1047" w:type="dxa"/>
            <w:vAlign w:val="center"/>
          </w:tcPr>
          <w:p w14:paraId="15AC55BE">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139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vAlign w:val="center"/>
          </w:tcPr>
          <w:p w14:paraId="2A56FB0B">
            <w:pPr>
              <w:pStyle w:val="11"/>
              <w:spacing w:line="300" w:lineRule="exact"/>
              <w:ind w:firstLine="218" w:firstLineChars="95"/>
              <w:jc w:val="center"/>
              <w:rPr>
                <w:rFonts w:ascii="宋体" w:hAnsi="宋体"/>
                <w:sz w:val="21"/>
                <w:szCs w:val="21"/>
              </w:rPr>
            </w:pPr>
            <w:r>
              <w:rPr>
                <w:rFonts w:hint="eastAsia" w:ascii="宋体" w:hAnsi="宋体"/>
                <w:sz w:val="21"/>
                <w:szCs w:val="21"/>
              </w:rPr>
              <w:t>3</w:t>
            </w:r>
          </w:p>
        </w:tc>
        <w:tc>
          <w:tcPr>
            <w:tcW w:w="1157" w:type="dxa"/>
            <w:vMerge w:val="restart"/>
            <w:vAlign w:val="center"/>
          </w:tcPr>
          <w:p w14:paraId="1F0737A8">
            <w:pPr>
              <w:spacing w:line="300" w:lineRule="exact"/>
              <w:jc w:val="center"/>
              <w:rPr>
                <w:rFonts w:ascii="宋体" w:hAnsi="宋体"/>
                <w:szCs w:val="21"/>
              </w:rPr>
            </w:pPr>
            <w:r>
              <w:rPr>
                <w:rFonts w:hint="eastAsia" w:ascii="宋体" w:hAnsi="宋体"/>
                <w:szCs w:val="21"/>
              </w:rPr>
              <w:t>加油机</w:t>
            </w:r>
          </w:p>
        </w:tc>
        <w:tc>
          <w:tcPr>
            <w:tcW w:w="934" w:type="dxa"/>
            <w:vAlign w:val="center"/>
          </w:tcPr>
          <w:p w14:paraId="29EA0DE5">
            <w:pPr>
              <w:pStyle w:val="11"/>
              <w:spacing w:line="300" w:lineRule="exact"/>
              <w:ind w:firstLine="0" w:firstLineChars="0"/>
              <w:jc w:val="center"/>
              <w:rPr>
                <w:rFonts w:ascii="宋体" w:hAnsi="宋体"/>
                <w:sz w:val="21"/>
                <w:szCs w:val="21"/>
              </w:rPr>
            </w:pPr>
            <w:r>
              <w:rPr>
                <w:rFonts w:hint="eastAsia" w:ascii="宋体" w:hAnsi="宋体"/>
                <w:sz w:val="21"/>
                <w:szCs w:val="21"/>
              </w:rPr>
              <w:t>公路</w:t>
            </w:r>
          </w:p>
        </w:tc>
        <w:tc>
          <w:tcPr>
            <w:tcW w:w="849" w:type="dxa"/>
            <w:vAlign w:val="center"/>
          </w:tcPr>
          <w:p w14:paraId="26EB75D4">
            <w:pPr>
              <w:jc w:val="center"/>
              <w:rPr>
                <w:rFonts w:ascii="宋体" w:hAnsi="宋体"/>
                <w:szCs w:val="21"/>
              </w:rPr>
            </w:pPr>
            <w:r>
              <w:rPr>
                <w:rFonts w:hint="eastAsia" w:ascii="宋体" w:hAnsi="宋体"/>
                <w:szCs w:val="21"/>
                <w:lang w:val="en-US" w:eastAsia="zh-CN"/>
              </w:rPr>
              <w:t>北</w:t>
            </w:r>
            <w:r>
              <w:rPr>
                <w:rFonts w:hint="eastAsia" w:ascii="宋体" w:hAnsi="宋体"/>
                <w:szCs w:val="21"/>
              </w:rPr>
              <w:t>面</w:t>
            </w:r>
          </w:p>
        </w:tc>
        <w:tc>
          <w:tcPr>
            <w:tcW w:w="1184" w:type="dxa"/>
            <w:vAlign w:val="center"/>
          </w:tcPr>
          <w:p w14:paraId="7E0486B2">
            <w:pPr>
              <w:pStyle w:val="11"/>
              <w:spacing w:line="300" w:lineRule="exact"/>
              <w:ind w:firstLine="0" w:firstLineChars="0"/>
              <w:jc w:val="center"/>
              <w:rPr>
                <w:rFonts w:ascii="宋体" w:hAnsi="宋体"/>
                <w:szCs w:val="21"/>
              </w:rPr>
            </w:pPr>
            <w:r>
              <w:rPr>
                <w:rFonts w:hint="eastAsia" w:ascii="宋体" w:hAnsi="宋体"/>
                <w:sz w:val="21"/>
                <w:szCs w:val="21"/>
                <w:lang w:val="en-US" w:eastAsia="zh-CN"/>
              </w:rPr>
              <w:t>主</w:t>
            </w:r>
            <w:r>
              <w:rPr>
                <w:rFonts w:hint="eastAsia" w:ascii="宋体" w:hAnsi="宋体"/>
                <w:sz w:val="21"/>
                <w:szCs w:val="21"/>
              </w:rPr>
              <w:t>干路</w:t>
            </w:r>
          </w:p>
        </w:tc>
        <w:tc>
          <w:tcPr>
            <w:tcW w:w="1270" w:type="dxa"/>
            <w:vAlign w:val="center"/>
          </w:tcPr>
          <w:p w14:paraId="440103B8">
            <w:pPr>
              <w:pStyle w:val="11"/>
              <w:spacing w:line="300" w:lineRule="exact"/>
              <w:ind w:firstLine="460" w:firstLineChars="200"/>
              <w:rPr>
                <w:rFonts w:ascii="宋体" w:hAnsi="宋体"/>
                <w:sz w:val="21"/>
                <w:szCs w:val="21"/>
              </w:rPr>
            </w:pPr>
            <w:r>
              <w:rPr>
                <w:rFonts w:ascii="宋体" w:hAnsi="宋体"/>
                <w:sz w:val="21"/>
                <w:szCs w:val="21"/>
              </w:rPr>
              <w:t>5</w:t>
            </w:r>
            <w:r>
              <w:rPr>
                <w:rFonts w:hint="eastAsia" w:ascii="宋体" w:hAnsi="宋体"/>
                <w:sz w:val="21"/>
                <w:szCs w:val="21"/>
                <w:lang w:val="en-US" w:eastAsia="zh-CN"/>
              </w:rPr>
              <w:t>.5</w:t>
            </w:r>
          </w:p>
        </w:tc>
        <w:tc>
          <w:tcPr>
            <w:tcW w:w="1230" w:type="dxa"/>
            <w:vAlign w:val="center"/>
          </w:tcPr>
          <w:p w14:paraId="2145B8CA">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7.8</w:t>
            </w:r>
          </w:p>
        </w:tc>
        <w:tc>
          <w:tcPr>
            <w:tcW w:w="1047" w:type="dxa"/>
            <w:vAlign w:val="center"/>
          </w:tcPr>
          <w:p w14:paraId="75DB0C52">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7488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532AF865">
            <w:pPr>
              <w:pStyle w:val="11"/>
              <w:spacing w:line="300" w:lineRule="exact"/>
              <w:ind w:firstLine="218" w:firstLineChars="95"/>
              <w:jc w:val="center"/>
              <w:rPr>
                <w:rFonts w:ascii="宋体" w:hAnsi="宋体"/>
                <w:sz w:val="21"/>
                <w:szCs w:val="21"/>
              </w:rPr>
            </w:pPr>
          </w:p>
        </w:tc>
        <w:tc>
          <w:tcPr>
            <w:tcW w:w="1157" w:type="dxa"/>
            <w:vMerge w:val="continue"/>
            <w:vAlign w:val="center"/>
          </w:tcPr>
          <w:p w14:paraId="0B850F0A">
            <w:pPr>
              <w:spacing w:line="300" w:lineRule="exact"/>
              <w:jc w:val="center"/>
              <w:rPr>
                <w:rFonts w:ascii="宋体" w:hAnsi="宋体"/>
                <w:szCs w:val="21"/>
              </w:rPr>
            </w:pPr>
          </w:p>
        </w:tc>
        <w:tc>
          <w:tcPr>
            <w:tcW w:w="934" w:type="dxa"/>
            <w:vAlign w:val="center"/>
          </w:tcPr>
          <w:p w14:paraId="4BED6753">
            <w:pPr>
              <w:pStyle w:val="11"/>
              <w:spacing w:line="300" w:lineRule="exact"/>
              <w:ind w:firstLine="0" w:firstLineChars="0"/>
              <w:jc w:val="center"/>
              <w:rPr>
                <w:rFonts w:ascii="宋体" w:hAnsi="宋体"/>
                <w:sz w:val="21"/>
                <w:szCs w:val="21"/>
              </w:rPr>
            </w:pPr>
            <w:r>
              <w:rPr>
                <w:rFonts w:hint="eastAsia" w:ascii="宋体" w:hAnsi="宋体"/>
                <w:sz w:val="21"/>
                <w:szCs w:val="21"/>
                <w:lang w:val="en-US" w:eastAsia="zh-CN"/>
              </w:rPr>
              <w:t>民房</w:t>
            </w:r>
          </w:p>
        </w:tc>
        <w:tc>
          <w:tcPr>
            <w:tcW w:w="849" w:type="dxa"/>
            <w:vAlign w:val="center"/>
          </w:tcPr>
          <w:p w14:paraId="4C47B2C8">
            <w:pPr>
              <w:jc w:val="center"/>
              <w:rPr>
                <w:rFonts w:ascii="宋体" w:hAnsi="宋体"/>
                <w:szCs w:val="21"/>
              </w:rPr>
            </w:pPr>
            <w:r>
              <w:rPr>
                <w:rFonts w:hint="eastAsia" w:ascii="宋体" w:hAnsi="宋体"/>
                <w:szCs w:val="21"/>
                <w:lang w:val="en-US" w:eastAsia="zh-CN"/>
              </w:rPr>
              <w:t>东面</w:t>
            </w:r>
          </w:p>
        </w:tc>
        <w:tc>
          <w:tcPr>
            <w:tcW w:w="1184" w:type="dxa"/>
            <w:vAlign w:val="center"/>
          </w:tcPr>
          <w:p w14:paraId="59960B4A">
            <w:pPr>
              <w:pStyle w:val="11"/>
              <w:spacing w:line="300" w:lineRule="exact"/>
              <w:ind w:firstLine="0" w:firstLineChars="0"/>
              <w:jc w:val="center"/>
              <w:rPr>
                <w:rFonts w:ascii="宋体" w:hAnsi="宋体"/>
                <w:sz w:val="21"/>
                <w:szCs w:val="21"/>
              </w:rPr>
            </w:pPr>
            <w:r>
              <w:rPr>
                <w:rFonts w:hint="eastAsia" w:ascii="宋体" w:hAnsi="宋体"/>
                <w:sz w:val="21"/>
                <w:szCs w:val="21"/>
              </w:rPr>
              <w:t>三类</w:t>
            </w:r>
          </w:p>
        </w:tc>
        <w:tc>
          <w:tcPr>
            <w:tcW w:w="1270" w:type="dxa"/>
            <w:vAlign w:val="center"/>
          </w:tcPr>
          <w:p w14:paraId="2E9845AF">
            <w:pPr>
              <w:pStyle w:val="11"/>
              <w:spacing w:line="300" w:lineRule="exact"/>
              <w:ind w:firstLine="460" w:firstLineChars="200"/>
              <w:rPr>
                <w:rFonts w:ascii="宋体" w:hAnsi="宋体"/>
                <w:sz w:val="21"/>
                <w:szCs w:val="21"/>
              </w:rPr>
            </w:pPr>
            <w:r>
              <w:rPr>
                <w:rFonts w:hint="eastAsia" w:ascii="宋体" w:hAnsi="宋体"/>
                <w:sz w:val="21"/>
                <w:szCs w:val="21"/>
                <w:lang w:val="en-US" w:eastAsia="zh-CN"/>
              </w:rPr>
              <w:t>6</w:t>
            </w:r>
          </w:p>
        </w:tc>
        <w:tc>
          <w:tcPr>
            <w:tcW w:w="1230" w:type="dxa"/>
            <w:vAlign w:val="center"/>
          </w:tcPr>
          <w:p w14:paraId="7BE567AF">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13.3</w:t>
            </w:r>
          </w:p>
        </w:tc>
        <w:tc>
          <w:tcPr>
            <w:tcW w:w="1047" w:type="dxa"/>
            <w:vAlign w:val="center"/>
          </w:tcPr>
          <w:p w14:paraId="2631C44A">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295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7E472AC5">
            <w:pPr>
              <w:pStyle w:val="11"/>
              <w:spacing w:line="300" w:lineRule="exact"/>
              <w:ind w:firstLine="218" w:firstLineChars="95"/>
              <w:jc w:val="center"/>
              <w:rPr>
                <w:rFonts w:ascii="宋体" w:hAnsi="宋体"/>
                <w:sz w:val="21"/>
                <w:szCs w:val="21"/>
              </w:rPr>
            </w:pPr>
          </w:p>
        </w:tc>
        <w:tc>
          <w:tcPr>
            <w:tcW w:w="1157" w:type="dxa"/>
            <w:vMerge w:val="continue"/>
            <w:vAlign w:val="center"/>
          </w:tcPr>
          <w:p w14:paraId="3C096A0E">
            <w:pPr>
              <w:spacing w:line="300" w:lineRule="exact"/>
              <w:jc w:val="center"/>
              <w:rPr>
                <w:rFonts w:ascii="宋体" w:hAnsi="宋体"/>
                <w:szCs w:val="21"/>
              </w:rPr>
            </w:pPr>
          </w:p>
        </w:tc>
        <w:tc>
          <w:tcPr>
            <w:tcW w:w="934" w:type="dxa"/>
            <w:vAlign w:val="center"/>
          </w:tcPr>
          <w:p w14:paraId="279FD381">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洗车机</w:t>
            </w:r>
          </w:p>
        </w:tc>
        <w:tc>
          <w:tcPr>
            <w:tcW w:w="849" w:type="dxa"/>
            <w:vAlign w:val="center"/>
          </w:tcPr>
          <w:p w14:paraId="10A4BEC3">
            <w:pPr>
              <w:jc w:val="center"/>
              <w:rPr>
                <w:rFonts w:hint="eastAsia" w:ascii="宋体" w:hAnsi="宋体"/>
                <w:szCs w:val="21"/>
              </w:rPr>
            </w:pPr>
            <w:r>
              <w:rPr>
                <w:rFonts w:hint="eastAsia" w:ascii="宋体" w:hAnsi="宋体"/>
                <w:szCs w:val="21"/>
                <w:lang w:val="en-US" w:eastAsia="zh-CN"/>
              </w:rPr>
              <w:t>东面</w:t>
            </w:r>
          </w:p>
        </w:tc>
        <w:tc>
          <w:tcPr>
            <w:tcW w:w="1184" w:type="dxa"/>
            <w:vAlign w:val="center"/>
          </w:tcPr>
          <w:p w14:paraId="644645F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70" w:type="dxa"/>
            <w:vAlign w:val="center"/>
          </w:tcPr>
          <w:p w14:paraId="405D55D0">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7</w:t>
            </w:r>
          </w:p>
        </w:tc>
        <w:tc>
          <w:tcPr>
            <w:tcW w:w="1230" w:type="dxa"/>
            <w:vAlign w:val="center"/>
          </w:tcPr>
          <w:p w14:paraId="77363FD9">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19.5</w:t>
            </w:r>
          </w:p>
        </w:tc>
        <w:tc>
          <w:tcPr>
            <w:tcW w:w="1047" w:type="dxa"/>
            <w:vAlign w:val="center"/>
          </w:tcPr>
          <w:p w14:paraId="093E4F79">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53EF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vAlign w:val="center"/>
          </w:tcPr>
          <w:p w14:paraId="4ABF02FE">
            <w:pPr>
              <w:pStyle w:val="11"/>
              <w:spacing w:line="300" w:lineRule="exact"/>
              <w:ind w:firstLine="218" w:firstLineChars="95"/>
              <w:jc w:val="center"/>
              <w:rPr>
                <w:rFonts w:ascii="宋体" w:hAnsi="宋体"/>
                <w:sz w:val="21"/>
                <w:szCs w:val="21"/>
              </w:rPr>
            </w:pPr>
          </w:p>
        </w:tc>
        <w:tc>
          <w:tcPr>
            <w:tcW w:w="1157" w:type="dxa"/>
            <w:vMerge w:val="continue"/>
            <w:vAlign w:val="center"/>
          </w:tcPr>
          <w:p w14:paraId="0DA926F2">
            <w:pPr>
              <w:spacing w:line="300" w:lineRule="exact"/>
              <w:jc w:val="center"/>
              <w:rPr>
                <w:rFonts w:ascii="宋体" w:hAnsi="宋体"/>
                <w:szCs w:val="21"/>
              </w:rPr>
            </w:pPr>
          </w:p>
        </w:tc>
        <w:tc>
          <w:tcPr>
            <w:tcW w:w="934" w:type="dxa"/>
            <w:vAlign w:val="center"/>
          </w:tcPr>
          <w:p w14:paraId="08007DD3">
            <w:pPr>
              <w:pStyle w:val="11"/>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架空电力线</w:t>
            </w:r>
          </w:p>
        </w:tc>
        <w:tc>
          <w:tcPr>
            <w:tcW w:w="849" w:type="dxa"/>
            <w:vAlign w:val="center"/>
          </w:tcPr>
          <w:p w14:paraId="5D9DA27C">
            <w:pPr>
              <w:jc w:val="center"/>
              <w:rPr>
                <w:rFonts w:hint="eastAsia" w:ascii="宋体" w:hAnsi="宋体"/>
                <w:szCs w:val="21"/>
              </w:rPr>
            </w:pPr>
            <w:r>
              <w:rPr>
                <w:rFonts w:hint="eastAsia" w:ascii="宋体" w:hAnsi="宋体"/>
                <w:szCs w:val="21"/>
                <w:lang w:val="en-US" w:eastAsia="zh-CN"/>
              </w:rPr>
              <w:t>北面</w:t>
            </w:r>
          </w:p>
        </w:tc>
        <w:tc>
          <w:tcPr>
            <w:tcW w:w="1184" w:type="dxa"/>
            <w:vAlign w:val="center"/>
          </w:tcPr>
          <w:p w14:paraId="1A0EDB8B">
            <w:pPr>
              <w:pStyle w:val="11"/>
              <w:spacing w:line="300" w:lineRule="exact"/>
              <w:ind w:firstLine="0" w:firstLineChars="0"/>
              <w:jc w:val="center"/>
              <w:rPr>
                <w:rFonts w:hint="eastAsia" w:ascii="宋体" w:hAnsi="宋体"/>
                <w:sz w:val="21"/>
                <w:szCs w:val="21"/>
              </w:rPr>
            </w:pPr>
            <w:r>
              <w:rPr>
                <w:rFonts w:hint="eastAsia" w:ascii="宋体" w:hAnsi="宋体"/>
                <w:sz w:val="21"/>
                <w:szCs w:val="21"/>
              </w:rPr>
              <w:t>有绝缘层</w:t>
            </w:r>
          </w:p>
        </w:tc>
        <w:tc>
          <w:tcPr>
            <w:tcW w:w="1270" w:type="dxa"/>
            <w:vAlign w:val="center"/>
          </w:tcPr>
          <w:p w14:paraId="1E430223">
            <w:pPr>
              <w:pStyle w:val="11"/>
              <w:spacing w:line="300" w:lineRule="exact"/>
              <w:ind w:firstLine="460" w:firstLineChars="200"/>
              <w:rPr>
                <w:rFonts w:hint="eastAsia" w:ascii="宋体" w:hAnsi="宋体"/>
                <w:sz w:val="21"/>
                <w:szCs w:val="21"/>
              </w:rPr>
            </w:pPr>
            <w:r>
              <w:rPr>
                <w:rFonts w:hint="eastAsia" w:ascii="宋体" w:hAnsi="宋体"/>
                <w:sz w:val="21"/>
                <w:szCs w:val="21"/>
                <w:lang w:val="en-US" w:eastAsia="zh-CN"/>
              </w:rPr>
              <w:t>5</w:t>
            </w:r>
          </w:p>
        </w:tc>
        <w:tc>
          <w:tcPr>
            <w:tcW w:w="1230" w:type="dxa"/>
            <w:vAlign w:val="center"/>
          </w:tcPr>
          <w:p w14:paraId="0958FDA5">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25.6</w:t>
            </w:r>
          </w:p>
        </w:tc>
        <w:tc>
          <w:tcPr>
            <w:tcW w:w="1047" w:type="dxa"/>
            <w:vAlign w:val="center"/>
          </w:tcPr>
          <w:p w14:paraId="54D1A703">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660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930" w:type="dxa"/>
            <w:gridSpan w:val="2"/>
            <w:vAlign w:val="center"/>
          </w:tcPr>
          <w:p w14:paraId="531EB76E">
            <w:pPr>
              <w:pStyle w:val="17"/>
              <w:spacing w:line="300" w:lineRule="exact"/>
              <w:jc w:val="center"/>
              <w:rPr>
                <w:rFonts w:ascii="宋体" w:hAnsi="宋体"/>
                <w:szCs w:val="21"/>
              </w:rPr>
            </w:pPr>
            <w:r>
              <w:rPr>
                <w:rFonts w:hint="eastAsia" w:ascii="宋体" w:hAnsi="宋体"/>
                <w:szCs w:val="21"/>
              </w:rPr>
              <w:t>备注</w:t>
            </w:r>
          </w:p>
        </w:tc>
        <w:tc>
          <w:tcPr>
            <w:tcW w:w="6514" w:type="dxa"/>
            <w:gridSpan w:val="6"/>
            <w:vAlign w:val="center"/>
          </w:tcPr>
          <w:p w14:paraId="7E77E49F">
            <w:pPr>
              <w:widowControl/>
              <w:spacing w:line="300" w:lineRule="exact"/>
              <w:rPr>
                <w:rFonts w:ascii="宋体" w:hAnsi="宋体"/>
                <w:szCs w:val="21"/>
              </w:rPr>
            </w:pPr>
            <w:r>
              <w:rPr>
                <w:rFonts w:ascii="宋体" w:hAnsi="宋体"/>
                <w:szCs w:val="21"/>
              </w:rPr>
              <w:t>1.</w:t>
            </w:r>
            <w:r>
              <w:rPr>
                <w:rFonts w:hint="eastAsia" w:ascii="宋体" w:hAnsi="宋体"/>
                <w:szCs w:val="21"/>
              </w:rPr>
              <w:t>加油站为三级站、有卸油、加油油气回收系统；</w:t>
            </w:r>
          </w:p>
          <w:p w14:paraId="316ADF3B">
            <w:pPr>
              <w:widowControl/>
              <w:spacing w:line="300" w:lineRule="exact"/>
              <w:rPr>
                <w:rFonts w:ascii="宋体" w:hAnsi="宋体"/>
                <w:szCs w:val="21"/>
              </w:rPr>
            </w:pPr>
            <w:r>
              <w:rPr>
                <w:rFonts w:hint="eastAsia" w:ascii="宋体" w:hAnsi="宋体"/>
                <w:szCs w:val="21"/>
              </w:rPr>
              <w:t>2.</w:t>
            </w:r>
            <w:r>
              <w:rPr>
                <w:rFonts w:ascii="宋体" w:hAnsi="宋体"/>
                <w:szCs w:val="21"/>
              </w:rPr>
              <w:t>加油站除面向公路一侧开敞，其余几面拟设置实体围墙；</w:t>
            </w:r>
          </w:p>
          <w:p w14:paraId="7C22D3FD">
            <w:pPr>
              <w:widowControl/>
              <w:spacing w:line="300" w:lineRule="exact"/>
              <w:rPr>
                <w:rFonts w:ascii="宋体" w:hAnsi="宋体"/>
                <w:szCs w:val="21"/>
              </w:rPr>
            </w:pPr>
            <w:r>
              <w:rPr>
                <w:rFonts w:hint="eastAsia" w:ascii="宋体" w:hAnsi="宋体"/>
                <w:szCs w:val="21"/>
              </w:rPr>
              <w:t>3.加油站周围无特殊名胜、风景、旅游，动植物及水生物保护区等环境保护敏感点。</w:t>
            </w:r>
          </w:p>
          <w:p w14:paraId="621906F0">
            <w:pPr>
              <w:widowControl/>
              <w:spacing w:line="300" w:lineRule="exact"/>
              <w:rPr>
                <w:rFonts w:hint="eastAsia" w:ascii="宋体" w:hAnsi="宋体"/>
                <w:szCs w:val="21"/>
              </w:rPr>
            </w:pPr>
            <w:r>
              <w:rPr>
                <w:rFonts w:hint="eastAsia" w:ascii="宋体" w:hAnsi="宋体"/>
                <w:szCs w:val="21"/>
              </w:rPr>
              <w:t>4</w:t>
            </w:r>
            <w:r>
              <w:rPr>
                <w:rFonts w:ascii="宋体" w:hAnsi="宋体"/>
                <w:szCs w:val="21"/>
              </w:rPr>
              <w:t>.其余建筑物防火距离不涉及。</w:t>
            </w:r>
          </w:p>
        </w:tc>
      </w:tr>
    </w:tbl>
    <w:p w14:paraId="3A1F0601">
      <w:pPr>
        <w:pStyle w:val="50"/>
        <w:rPr>
          <w:rFonts w:hint="eastAsia" w:ascii="宋体" w:hAnsi="宋体"/>
          <w:bCs/>
          <w:sz w:val="28"/>
          <w:szCs w:val="28"/>
        </w:rPr>
      </w:pPr>
    </w:p>
    <w:p w14:paraId="0FCDAA39">
      <w:pPr>
        <w:pStyle w:val="4"/>
        <w:spacing w:afterLines="100" w:line="500" w:lineRule="exact"/>
        <w:rPr>
          <w:rFonts w:ascii="黑体" w:hAnsi="宋体"/>
          <w:kern w:val="3"/>
          <w:sz w:val="28"/>
          <w:szCs w:val="28"/>
        </w:rPr>
      </w:pPr>
      <w:bookmarkStart w:id="457" w:name="_Toc71894940"/>
      <w:r>
        <w:rPr>
          <w:rFonts w:hint="eastAsia" w:ascii="黑体" w:hAnsi="宋体"/>
          <w:kern w:val="3"/>
          <w:sz w:val="28"/>
          <w:szCs w:val="28"/>
        </w:rPr>
        <w:t>6</w:t>
      </w:r>
      <w:r>
        <w:rPr>
          <w:rFonts w:ascii="黑体" w:hAnsi="宋体"/>
          <w:kern w:val="3"/>
          <w:sz w:val="28"/>
          <w:szCs w:val="28"/>
        </w:rPr>
        <w:t>.1.</w:t>
      </w:r>
      <w:r>
        <w:rPr>
          <w:rFonts w:hint="eastAsia" w:ascii="黑体" w:hAnsi="宋体"/>
          <w:kern w:val="3"/>
          <w:sz w:val="28"/>
          <w:szCs w:val="28"/>
        </w:rPr>
        <w:t>6小结</w:t>
      </w:r>
      <w:bookmarkEnd w:id="448"/>
      <w:bookmarkEnd w:id="449"/>
      <w:bookmarkEnd w:id="450"/>
      <w:bookmarkEnd w:id="451"/>
      <w:bookmarkEnd w:id="452"/>
      <w:bookmarkEnd w:id="453"/>
      <w:bookmarkEnd w:id="454"/>
      <w:bookmarkEnd w:id="455"/>
      <w:bookmarkEnd w:id="456"/>
      <w:bookmarkEnd w:id="457"/>
    </w:p>
    <w:p w14:paraId="08630A00">
      <w:pPr>
        <w:ind w:firstLine="560" w:firstLineChars="200"/>
        <w:rPr>
          <w:rFonts w:ascii="宋体" w:hAnsi="宋体"/>
          <w:sz w:val="28"/>
        </w:rPr>
      </w:pPr>
      <w:r>
        <w:rPr>
          <w:rFonts w:hint="eastAsia" w:ascii="宋体" w:hAnsi="宋体"/>
          <w:sz w:val="28"/>
        </w:rPr>
        <w:t>由以上评价可知，该加油站站址及外部安全条件符合</w:t>
      </w:r>
      <w:r>
        <w:rPr>
          <w:rFonts w:hint="eastAsia" w:ascii="新宋体" w:hAnsi="新宋体" w:eastAsia="新宋体"/>
          <w:snapToGrid w:val="0"/>
          <w:sz w:val="28"/>
          <w:szCs w:val="28"/>
        </w:rPr>
        <w:t>《汽车加油加气加氢站技术标准》（GB50156-2021）</w:t>
      </w:r>
      <w:r>
        <w:rPr>
          <w:rFonts w:hint="eastAsia" w:ascii="宋体" w:hAnsi="宋体"/>
          <w:sz w:val="28"/>
        </w:rPr>
        <w:t>规范要求。</w:t>
      </w:r>
    </w:p>
    <w:p w14:paraId="31250421">
      <w:pPr>
        <w:pStyle w:val="4"/>
        <w:spacing w:afterLines="100" w:line="500" w:lineRule="exact"/>
        <w:jc w:val="center"/>
        <w:rPr>
          <w:rFonts w:ascii="楷体_GB2312" w:hAnsi="宋体" w:eastAsia="楷体_GB2312"/>
          <w:kern w:val="3"/>
        </w:rPr>
      </w:pPr>
      <w:bookmarkStart w:id="458" w:name="_Toc71894941"/>
      <w:r>
        <w:rPr>
          <w:rFonts w:hint="eastAsia" w:ascii="楷体_GB2312" w:hAnsi="宋体" w:eastAsia="楷体_GB2312"/>
          <w:kern w:val="3"/>
        </w:rPr>
        <w:t>6.2总平面布置评价单元</w:t>
      </w:r>
      <w:bookmarkEnd w:id="458"/>
    </w:p>
    <w:p w14:paraId="2573CA79">
      <w:pPr>
        <w:pStyle w:val="4"/>
        <w:spacing w:afterLines="100" w:line="500" w:lineRule="exact"/>
        <w:rPr>
          <w:rFonts w:ascii="黑体" w:hAnsi="宋体"/>
          <w:kern w:val="3"/>
          <w:sz w:val="28"/>
          <w:szCs w:val="28"/>
        </w:rPr>
      </w:pPr>
      <w:bookmarkStart w:id="459" w:name="_Toc71894942"/>
      <w:r>
        <w:rPr>
          <w:rFonts w:hint="eastAsia" w:ascii="黑体" w:hAnsi="宋体"/>
          <w:kern w:val="3"/>
          <w:sz w:val="28"/>
          <w:szCs w:val="28"/>
        </w:rPr>
        <w:t>6.2.1总平面布置</w:t>
      </w:r>
      <w:bookmarkEnd w:id="459"/>
    </w:p>
    <w:p w14:paraId="6A328A14">
      <w:pPr>
        <w:spacing w:line="360" w:lineRule="auto"/>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的相关规定，对该加油站总平面布置进行安全</w:t>
      </w:r>
      <w:r>
        <w:rPr>
          <w:rFonts w:hint="eastAsia" w:ascii="宋体" w:hAnsi="宋体"/>
          <w:sz w:val="28"/>
        </w:rPr>
        <w:t>评价</w:t>
      </w:r>
      <w:r>
        <w:rPr>
          <w:rFonts w:ascii="宋体" w:hAnsi="宋体"/>
          <w:sz w:val="28"/>
        </w:rPr>
        <w:t>，具体情况见表</w:t>
      </w:r>
      <w:r>
        <w:rPr>
          <w:rFonts w:hint="eastAsia" w:ascii="宋体" w:hAnsi="宋体"/>
          <w:sz w:val="28"/>
        </w:rPr>
        <w:t>6-4。</w:t>
      </w:r>
    </w:p>
    <w:p w14:paraId="306889F1">
      <w:pPr>
        <w:jc w:val="center"/>
        <w:rPr>
          <w:rFonts w:ascii="宋体" w:hAnsi="宋体"/>
          <w:bCs/>
          <w:sz w:val="28"/>
          <w:szCs w:val="28"/>
        </w:rPr>
      </w:pPr>
      <w:r>
        <w:rPr>
          <w:rFonts w:hint="eastAsia" w:ascii="宋体" w:hAnsi="宋体"/>
          <w:bCs/>
          <w:sz w:val="28"/>
          <w:szCs w:val="28"/>
        </w:rPr>
        <w:t>表6-4</w:t>
      </w:r>
      <w:r>
        <w:rPr>
          <w:rFonts w:ascii="宋体" w:hAnsi="宋体"/>
          <w:bCs/>
          <w:sz w:val="28"/>
          <w:szCs w:val="28"/>
        </w:rPr>
        <w:t>总平面布置安全评价检查表</w:t>
      </w:r>
    </w:p>
    <w:tbl>
      <w:tblPr>
        <w:tblStyle w:val="33"/>
        <w:tblW w:w="86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8"/>
        <w:gridCol w:w="3099"/>
        <w:gridCol w:w="2133"/>
        <w:gridCol w:w="1734"/>
        <w:gridCol w:w="1026"/>
      </w:tblGrid>
      <w:tr w14:paraId="0BBBC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CA38DBE">
            <w:pPr>
              <w:spacing w:line="300" w:lineRule="exact"/>
              <w:jc w:val="center"/>
              <w:rPr>
                <w:rFonts w:ascii="宋体" w:hAnsi="宋体"/>
                <w:bCs/>
                <w:szCs w:val="21"/>
              </w:rPr>
            </w:pPr>
            <w:r>
              <w:rPr>
                <w:rFonts w:ascii="宋体" w:hAnsi="宋体"/>
                <w:bCs/>
                <w:szCs w:val="21"/>
              </w:rPr>
              <w:t>序号</w:t>
            </w:r>
          </w:p>
        </w:tc>
        <w:tc>
          <w:tcPr>
            <w:tcW w:w="3099" w:type="dxa"/>
            <w:tcBorders>
              <w:top w:val="single" w:color="auto" w:sz="4" w:space="0"/>
              <w:left w:val="single" w:color="auto" w:sz="4" w:space="0"/>
              <w:bottom w:val="single" w:color="auto" w:sz="4" w:space="0"/>
              <w:right w:val="single" w:color="auto" w:sz="4" w:space="0"/>
            </w:tcBorders>
            <w:vAlign w:val="center"/>
          </w:tcPr>
          <w:p w14:paraId="5521F1D5">
            <w:pPr>
              <w:spacing w:line="300" w:lineRule="exact"/>
              <w:jc w:val="center"/>
              <w:rPr>
                <w:rFonts w:ascii="宋体" w:hAnsi="宋体"/>
                <w:bCs/>
                <w:szCs w:val="21"/>
              </w:rPr>
            </w:pPr>
            <w:r>
              <w:rPr>
                <w:rFonts w:ascii="宋体" w:hAnsi="宋体"/>
                <w:bCs/>
                <w:szCs w:val="21"/>
              </w:rPr>
              <w:t>检查内容</w:t>
            </w:r>
          </w:p>
        </w:tc>
        <w:tc>
          <w:tcPr>
            <w:tcW w:w="2133" w:type="dxa"/>
            <w:tcBorders>
              <w:top w:val="single" w:color="auto" w:sz="4" w:space="0"/>
              <w:left w:val="single" w:color="auto" w:sz="4" w:space="0"/>
              <w:bottom w:val="single" w:color="auto" w:sz="4" w:space="0"/>
              <w:right w:val="single" w:color="auto" w:sz="4" w:space="0"/>
            </w:tcBorders>
            <w:vAlign w:val="center"/>
          </w:tcPr>
          <w:p w14:paraId="4509A348">
            <w:pPr>
              <w:spacing w:line="300" w:lineRule="exact"/>
              <w:jc w:val="center"/>
              <w:rPr>
                <w:rFonts w:ascii="宋体" w:hAnsi="宋体"/>
                <w:bCs/>
                <w:szCs w:val="21"/>
              </w:rPr>
            </w:pPr>
            <w:r>
              <w:rPr>
                <w:rFonts w:ascii="宋体" w:hAnsi="宋体"/>
                <w:bCs/>
                <w:szCs w:val="21"/>
              </w:rPr>
              <w:t>标准依据</w:t>
            </w:r>
          </w:p>
        </w:tc>
        <w:tc>
          <w:tcPr>
            <w:tcW w:w="1734" w:type="dxa"/>
            <w:tcBorders>
              <w:top w:val="single" w:color="auto" w:sz="4" w:space="0"/>
              <w:left w:val="single" w:color="auto" w:sz="4" w:space="0"/>
              <w:bottom w:val="single" w:color="auto" w:sz="4" w:space="0"/>
              <w:right w:val="single" w:color="auto" w:sz="4" w:space="0"/>
            </w:tcBorders>
            <w:vAlign w:val="center"/>
          </w:tcPr>
          <w:p w14:paraId="52368D6B">
            <w:pPr>
              <w:spacing w:line="300" w:lineRule="exact"/>
              <w:jc w:val="center"/>
              <w:rPr>
                <w:rFonts w:ascii="宋体" w:hAnsi="宋体"/>
                <w:bCs/>
                <w:szCs w:val="21"/>
              </w:rPr>
            </w:pPr>
            <w:r>
              <w:rPr>
                <w:rFonts w:ascii="宋体" w:hAnsi="宋体"/>
                <w:bCs/>
                <w:szCs w:val="21"/>
              </w:rPr>
              <w:t>检查记录</w:t>
            </w:r>
          </w:p>
        </w:tc>
        <w:tc>
          <w:tcPr>
            <w:tcW w:w="1026" w:type="dxa"/>
            <w:tcBorders>
              <w:top w:val="single" w:color="auto" w:sz="4" w:space="0"/>
              <w:left w:val="single" w:color="auto" w:sz="4" w:space="0"/>
              <w:bottom w:val="single" w:color="auto" w:sz="4" w:space="0"/>
              <w:right w:val="single" w:color="auto" w:sz="4" w:space="0"/>
            </w:tcBorders>
            <w:vAlign w:val="center"/>
          </w:tcPr>
          <w:p w14:paraId="4886365A">
            <w:pPr>
              <w:spacing w:line="300" w:lineRule="exact"/>
              <w:jc w:val="center"/>
              <w:rPr>
                <w:rFonts w:ascii="宋体" w:hAnsi="宋体"/>
                <w:bCs/>
                <w:szCs w:val="21"/>
              </w:rPr>
            </w:pPr>
            <w:r>
              <w:rPr>
                <w:rFonts w:ascii="宋体" w:hAnsi="宋体"/>
                <w:bCs/>
                <w:szCs w:val="21"/>
              </w:rPr>
              <w:t>结论</w:t>
            </w:r>
          </w:p>
        </w:tc>
      </w:tr>
      <w:tr w14:paraId="70C48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05475CF">
            <w:pPr>
              <w:spacing w:line="300" w:lineRule="exact"/>
              <w:jc w:val="center"/>
              <w:rPr>
                <w:rFonts w:ascii="宋体" w:hAnsi="宋体"/>
                <w:bCs/>
                <w:szCs w:val="21"/>
              </w:rPr>
            </w:pPr>
            <w:r>
              <w:rPr>
                <w:rFonts w:hint="eastAsia" w:ascii="宋体" w:hAnsi="宋体"/>
                <w:bCs/>
                <w:szCs w:val="21"/>
              </w:rPr>
              <w:t>1</w:t>
            </w:r>
          </w:p>
        </w:tc>
        <w:tc>
          <w:tcPr>
            <w:tcW w:w="3099" w:type="dxa"/>
            <w:tcBorders>
              <w:top w:val="single" w:color="auto" w:sz="4" w:space="0"/>
              <w:left w:val="single" w:color="auto" w:sz="4" w:space="0"/>
              <w:bottom w:val="single" w:color="auto" w:sz="4" w:space="0"/>
              <w:right w:val="single" w:color="auto" w:sz="4" w:space="0"/>
            </w:tcBorders>
            <w:vAlign w:val="center"/>
          </w:tcPr>
          <w:p w14:paraId="589CEFF1">
            <w:pPr>
              <w:spacing w:line="300" w:lineRule="exact"/>
              <w:jc w:val="center"/>
              <w:rPr>
                <w:rFonts w:ascii="宋体" w:hAnsi="宋体"/>
                <w:bCs/>
                <w:szCs w:val="21"/>
              </w:rPr>
            </w:pPr>
            <w:r>
              <w:rPr>
                <w:rFonts w:hint="eastAsia" w:ascii="宋体" w:hAnsi="宋体"/>
                <w:bCs/>
                <w:szCs w:val="21"/>
              </w:rPr>
              <w:t>车辆入口和出口应分开设置</w:t>
            </w:r>
          </w:p>
        </w:tc>
        <w:tc>
          <w:tcPr>
            <w:tcW w:w="2133" w:type="dxa"/>
            <w:tcBorders>
              <w:top w:val="single" w:color="auto" w:sz="4" w:space="0"/>
              <w:left w:val="single" w:color="auto" w:sz="4" w:space="0"/>
              <w:bottom w:val="single" w:color="auto" w:sz="4" w:space="0"/>
              <w:right w:val="single" w:color="auto" w:sz="4" w:space="0"/>
            </w:tcBorders>
            <w:vAlign w:val="center"/>
          </w:tcPr>
          <w:p w14:paraId="6D2E2E36">
            <w:pPr>
              <w:spacing w:line="300" w:lineRule="exact"/>
              <w:rPr>
                <w:rFonts w:ascii="宋体" w:hAnsi="宋体"/>
                <w:bCs/>
                <w:szCs w:val="21"/>
              </w:rPr>
            </w:pPr>
            <w:r>
              <w:rPr>
                <w:rFonts w:hint="eastAsia" w:ascii="宋体" w:hAnsi="宋体"/>
                <w:szCs w:val="21"/>
              </w:rPr>
              <w:t>《汽车加油加气加氢站技术标准》（GB50156-2021）5.0.1</w:t>
            </w:r>
          </w:p>
        </w:tc>
        <w:tc>
          <w:tcPr>
            <w:tcW w:w="1734" w:type="dxa"/>
            <w:tcBorders>
              <w:top w:val="single" w:color="auto" w:sz="4" w:space="0"/>
              <w:left w:val="single" w:color="auto" w:sz="4" w:space="0"/>
              <w:bottom w:val="single" w:color="auto" w:sz="4" w:space="0"/>
              <w:right w:val="single" w:color="auto" w:sz="4" w:space="0"/>
            </w:tcBorders>
            <w:vAlign w:val="center"/>
          </w:tcPr>
          <w:p w14:paraId="39475DBB">
            <w:pPr>
              <w:spacing w:line="300" w:lineRule="exact"/>
              <w:rPr>
                <w:rFonts w:ascii="宋体" w:hAnsi="宋体"/>
                <w:bCs/>
                <w:szCs w:val="21"/>
              </w:rPr>
            </w:pPr>
            <w:r>
              <w:rPr>
                <w:rFonts w:hint="eastAsia" w:ascii="宋体" w:hAnsi="宋体"/>
                <w:bCs/>
                <w:szCs w:val="21"/>
              </w:rPr>
              <w:t>分开设置</w:t>
            </w:r>
          </w:p>
        </w:tc>
        <w:tc>
          <w:tcPr>
            <w:tcW w:w="1026" w:type="dxa"/>
            <w:tcBorders>
              <w:top w:val="single" w:color="auto" w:sz="4" w:space="0"/>
              <w:left w:val="single" w:color="auto" w:sz="4" w:space="0"/>
              <w:bottom w:val="single" w:color="auto" w:sz="4" w:space="0"/>
              <w:right w:val="single" w:color="auto" w:sz="4" w:space="0"/>
            </w:tcBorders>
            <w:vAlign w:val="center"/>
          </w:tcPr>
          <w:p w14:paraId="3F1BCD9C">
            <w:pPr>
              <w:spacing w:line="300" w:lineRule="exact"/>
              <w:jc w:val="center"/>
              <w:rPr>
                <w:rFonts w:ascii="宋体" w:hAnsi="宋体"/>
                <w:bCs/>
                <w:szCs w:val="21"/>
              </w:rPr>
            </w:pPr>
            <w:r>
              <w:rPr>
                <w:rFonts w:hint="eastAsia" w:ascii="宋体" w:hAnsi="宋体"/>
                <w:bCs/>
                <w:szCs w:val="21"/>
              </w:rPr>
              <w:t>符合</w:t>
            </w:r>
          </w:p>
        </w:tc>
      </w:tr>
      <w:tr w14:paraId="783C5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28ED4BD9">
            <w:pPr>
              <w:spacing w:line="300" w:lineRule="exact"/>
              <w:jc w:val="center"/>
              <w:rPr>
                <w:rFonts w:ascii="宋体" w:hAnsi="宋体"/>
                <w:bCs/>
                <w:szCs w:val="21"/>
              </w:rPr>
            </w:pPr>
            <w:r>
              <w:rPr>
                <w:rFonts w:hint="eastAsia" w:ascii="宋体" w:hAnsi="宋体"/>
                <w:bCs/>
                <w:szCs w:val="21"/>
              </w:rPr>
              <w:t>2</w:t>
            </w:r>
          </w:p>
        </w:tc>
        <w:tc>
          <w:tcPr>
            <w:tcW w:w="3099" w:type="dxa"/>
            <w:tcBorders>
              <w:top w:val="single" w:color="auto" w:sz="4" w:space="0"/>
              <w:left w:val="single" w:color="auto" w:sz="4" w:space="0"/>
              <w:bottom w:val="single" w:color="auto" w:sz="4" w:space="0"/>
              <w:right w:val="single" w:color="auto" w:sz="4" w:space="0"/>
            </w:tcBorders>
            <w:vAlign w:val="center"/>
          </w:tcPr>
          <w:p w14:paraId="5CB37D3E">
            <w:pPr>
              <w:spacing w:line="300" w:lineRule="exact"/>
              <w:rPr>
                <w:rFonts w:ascii="宋体" w:hAnsi="宋体"/>
                <w:bCs/>
                <w:szCs w:val="21"/>
              </w:rPr>
            </w:pPr>
            <w:r>
              <w:rPr>
                <w:rFonts w:hint="eastAsia" w:ascii="宋体" w:hAnsi="宋体"/>
                <w:bCs/>
                <w:szCs w:val="21"/>
              </w:rPr>
              <w:t>站内道路应符合下列规定：</w:t>
            </w:r>
          </w:p>
          <w:p w14:paraId="4352B9CF">
            <w:pPr>
              <w:spacing w:line="300" w:lineRule="exact"/>
              <w:rPr>
                <w:rFonts w:ascii="宋体" w:hAnsi="宋体"/>
                <w:bCs/>
                <w:szCs w:val="21"/>
              </w:rPr>
            </w:pPr>
            <w:r>
              <w:rPr>
                <w:rFonts w:hint="eastAsia" w:ascii="宋体" w:hAnsi="宋体"/>
                <w:bCs/>
                <w:szCs w:val="21"/>
              </w:rPr>
              <w:t>1.汽车加油加气加氢站的车道或停车位，单车道或单车停车位宽度不应小于4m，双车道或双车停车位宽度不应小于6m。</w:t>
            </w:r>
          </w:p>
          <w:p w14:paraId="0AD9E126">
            <w:pPr>
              <w:spacing w:line="300" w:lineRule="exact"/>
              <w:rPr>
                <w:rFonts w:ascii="宋体" w:hAnsi="宋体"/>
                <w:bCs/>
                <w:szCs w:val="21"/>
              </w:rPr>
            </w:pPr>
            <w:r>
              <w:rPr>
                <w:rFonts w:hint="eastAsia" w:ascii="宋体" w:hAnsi="宋体"/>
                <w:bCs/>
                <w:szCs w:val="21"/>
              </w:rPr>
              <w:t>2.站内的道路转弯半径应按行驶车型确定，且不宜小于9m。</w:t>
            </w:r>
          </w:p>
          <w:p w14:paraId="7AF8946A">
            <w:pPr>
              <w:spacing w:line="300" w:lineRule="exact"/>
              <w:rPr>
                <w:rFonts w:ascii="宋体" w:hAnsi="宋体"/>
                <w:bCs/>
                <w:szCs w:val="21"/>
              </w:rPr>
            </w:pPr>
            <w:r>
              <w:rPr>
                <w:rFonts w:hint="eastAsia" w:ascii="宋体" w:hAnsi="宋体"/>
                <w:bCs/>
                <w:szCs w:val="21"/>
              </w:rPr>
              <w:t>3.站内停车位应为平坡，道路坡度不应大于8%，且宜坡向站外。</w:t>
            </w:r>
          </w:p>
          <w:p w14:paraId="466F2FDC">
            <w:pPr>
              <w:spacing w:line="300" w:lineRule="exact"/>
              <w:rPr>
                <w:rFonts w:ascii="宋体" w:hAnsi="宋体"/>
                <w:bCs/>
                <w:szCs w:val="21"/>
              </w:rPr>
            </w:pPr>
            <w:r>
              <w:rPr>
                <w:rFonts w:hint="eastAsia" w:ascii="宋体" w:hAnsi="宋体"/>
                <w:bCs/>
                <w:szCs w:val="21"/>
              </w:rPr>
              <w:t>4.作业区内的停车场和道路路面不应采用沥青路面。</w:t>
            </w:r>
          </w:p>
        </w:tc>
        <w:tc>
          <w:tcPr>
            <w:tcW w:w="2133" w:type="dxa"/>
            <w:tcBorders>
              <w:top w:val="single" w:color="auto" w:sz="4" w:space="0"/>
              <w:left w:val="single" w:color="auto" w:sz="4" w:space="0"/>
              <w:bottom w:val="single" w:color="auto" w:sz="4" w:space="0"/>
              <w:right w:val="single" w:color="auto" w:sz="4" w:space="0"/>
            </w:tcBorders>
            <w:vAlign w:val="center"/>
          </w:tcPr>
          <w:p w14:paraId="0E8B1FDE">
            <w:pPr>
              <w:spacing w:line="300" w:lineRule="exact"/>
              <w:rPr>
                <w:rFonts w:ascii="宋体" w:hAnsi="宋体"/>
                <w:bCs/>
                <w:szCs w:val="21"/>
              </w:rPr>
            </w:pPr>
            <w:r>
              <w:rPr>
                <w:rFonts w:hint="eastAsia" w:ascii="宋体" w:hAnsi="宋体"/>
                <w:szCs w:val="21"/>
              </w:rPr>
              <w:t>《汽车加油加气加氢站技术标准》（GB50156-2021）5.0.2</w:t>
            </w:r>
          </w:p>
        </w:tc>
        <w:tc>
          <w:tcPr>
            <w:tcW w:w="1734" w:type="dxa"/>
            <w:tcBorders>
              <w:top w:val="single" w:color="auto" w:sz="4" w:space="0"/>
              <w:left w:val="single" w:color="auto" w:sz="4" w:space="0"/>
              <w:bottom w:val="single" w:color="auto" w:sz="4" w:space="0"/>
              <w:right w:val="single" w:color="auto" w:sz="4" w:space="0"/>
            </w:tcBorders>
            <w:vAlign w:val="center"/>
          </w:tcPr>
          <w:p w14:paraId="3595B2EE">
            <w:pPr>
              <w:spacing w:line="300" w:lineRule="exact"/>
              <w:rPr>
                <w:rFonts w:ascii="宋体" w:hAnsi="宋体"/>
                <w:bCs/>
                <w:szCs w:val="21"/>
              </w:rPr>
            </w:pPr>
            <w:r>
              <w:rPr>
                <w:rFonts w:hint="eastAsia" w:ascii="宋体" w:hAnsi="宋体"/>
                <w:bCs/>
                <w:szCs w:val="21"/>
              </w:rPr>
              <w:t>单车道宽度大于4m，转弯半径大于9m，作业区内的停车场的道路采用水泥路面。</w:t>
            </w:r>
          </w:p>
        </w:tc>
        <w:tc>
          <w:tcPr>
            <w:tcW w:w="1026" w:type="dxa"/>
            <w:tcBorders>
              <w:top w:val="single" w:color="auto" w:sz="4" w:space="0"/>
              <w:left w:val="single" w:color="auto" w:sz="4" w:space="0"/>
              <w:bottom w:val="single" w:color="auto" w:sz="4" w:space="0"/>
              <w:right w:val="single" w:color="auto" w:sz="4" w:space="0"/>
            </w:tcBorders>
            <w:vAlign w:val="center"/>
          </w:tcPr>
          <w:p w14:paraId="6988FFFB">
            <w:pPr>
              <w:spacing w:line="300" w:lineRule="exact"/>
              <w:jc w:val="center"/>
              <w:rPr>
                <w:rFonts w:ascii="宋体" w:hAnsi="宋体"/>
                <w:bCs/>
                <w:szCs w:val="21"/>
              </w:rPr>
            </w:pPr>
            <w:r>
              <w:rPr>
                <w:rFonts w:hint="eastAsia" w:ascii="宋体" w:hAnsi="宋体"/>
                <w:bCs/>
                <w:szCs w:val="21"/>
              </w:rPr>
              <w:t>符合</w:t>
            </w:r>
          </w:p>
        </w:tc>
      </w:tr>
      <w:tr w14:paraId="709D4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1AD5A81">
            <w:pPr>
              <w:spacing w:line="300" w:lineRule="exact"/>
              <w:jc w:val="center"/>
              <w:rPr>
                <w:rFonts w:ascii="宋体" w:hAnsi="宋体"/>
                <w:bCs/>
                <w:szCs w:val="21"/>
              </w:rPr>
            </w:pPr>
            <w:r>
              <w:rPr>
                <w:rFonts w:hint="eastAsia" w:ascii="宋体" w:hAnsi="宋体"/>
                <w:bCs/>
                <w:szCs w:val="21"/>
              </w:rPr>
              <w:t>3</w:t>
            </w:r>
          </w:p>
        </w:tc>
        <w:tc>
          <w:tcPr>
            <w:tcW w:w="3099" w:type="dxa"/>
            <w:tcBorders>
              <w:top w:val="single" w:color="auto" w:sz="4" w:space="0"/>
              <w:left w:val="single" w:color="auto" w:sz="4" w:space="0"/>
              <w:bottom w:val="single" w:color="auto" w:sz="4" w:space="0"/>
              <w:right w:val="single" w:color="auto" w:sz="4" w:space="0"/>
            </w:tcBorders>
            <w:vAlign w:val="center"/>
          </w:tcPr>
          <w:p w14:paraId="2B6EE760">
            <w:pPr>
              <w:spacing w:line="300" w:lineRule="exact"/>
              <w:rPr>
                <w:rFonts w:ascii="宋体" w:hAnsi="宋体"/>
                <w:bCs/>
                <w:szCs w:val="21"/>
              </w:rPr>
            </w:pPr>
            <w:r>
              <w:rPr>
                <w:rFonts w:hint="eastAsia" w:ascii="宋体" w:hAnsi="宋体"/>
                <w:bCs/>
                <w:szCs w:val="21"/>
              </w:rPr>
              <w:t>作业区与辅助服务区之间应有界限标识。</w:t>
            </w:r>
          </w:p>
        </w:tc>
        <w:tc>
          <w:tcPr>
            <w:tcW w:w="2133" w:type="dxa"/>
            <w:tcBorders>
              <w:top w:val="single" w:color="auto" w:sz="4" w:space="0"/>
              <w:left w:val="single" w:color="auto" w:sz="4" w:space="0"/>
              <w:bottom w:val="single" w:color="auto" w:sz="4" w:space="0"/>
              <w:right w:val="single" w:color="auto" w:sz="4" w:space="0"/>
            </w:tcBorders>
            <w:vAlign w:val="center"/>
          </w:tcPr>
          <w:p w14:paraId="2CF5C5D4">
            <w:pPr>
              <w:spacing w:line="300" w:lineRule="exact"/>
              <w:rPr>
                <w:rFonts w:ascii="宋体" w:hAnsi="宋体"/>
                <w:bCs/>
                <w:szCs w:val="21"/>
              </w:rPr>
            </w:pPr>
            <w:r>
              <w:rPr>
                <w:rFonts w:hint="eastAsia" w:ascii="宋体" w:hAnsi="宋体"/>
                <w:szCs w:val="21"/>
              </w:rPr>
              <w:t>《汽车加油加气加氢站技术标准》（GB50156-2021）5.0.3</w:t>
            </w:r>
          </w:p>
        </w:tc>
        <w:tc>
          <w:tcPr>
            <w:tcW w:w="1734" w:type="dxa"/>
            <w:tcBorders>
              <w:top w:val="single" w:color="auto" w:sz="4" w:space="0"/>
              <w:left w:val="single" w:color="auto" w:sz="4" w:space="0"/>
              <w:bottom w:val="single" w:color="auto" w:sz="4" w:space="0"/>
              <w:right w:val="single" w:color="auto" w:sz="4" w:space="0"/>
            </w:tcBorders>
            <w:vAlign w:val="center"/>
          </w:tcPr>
          <w:p w14:paraId="022FEAC6">
            <w:pPr>
              <w:spacing w:line="300" w:lineRule="exact"/>
              <w:rPr>
                <w:rFonts w:ascii="宋体" w:hAnsi="宋体"/>
                <w:bCs/>
                <w:szCs w:val="21"/>
              </w:rPr>
            </w:pPr>
            <w:r>
              <w:rPr>
                <w:rFonts w:hint="eastAsia" w:ascii="宋体" w:hAnsi="宋体"/>
                <w:bCs/>
                <w:szCs w:val="21"/>
              </w:rPr>
              <w:t>作业区与辅助服务区之间有界限标识。</w:t>
            </w:r>
          </w:p>
        </w:tc>
        <w:tc>
          <w:tcPr>
            <w:tcW w:w="1026" w:type="dxa"/>
            <w:tcBorders>
              <w:top w:val="single" w:color="auto" w:sz="4" w:space="0"/>
              <w:left w:val="single" w:color="auto" w:sz="4" w:space="0"/>
              <w:bottom w:val="single" w:color="auto" w:sz="4" w:space="0"/>
              <w:right w:val="single" w:color="auto" w:sz="4" w:space="0"/>
            </w:tcBorders>
            <w:vAlign w:val="center"/>
          </w:tcPr>
          <w:p w14:paraId="19E094F9">
            <w:pPr>
              <w:spacing w:line="300" w:lineRule="exact"/>
              <w:jc w:val="center"/>
              <w:rPr>
                <w:rFonts w:ascii="宋体" w:hAnsi="宋体"/>
                <w:bCs/>
                <w:szCs w:val="21"/>
              </w:rPr>
            </w:pPr>
            <w:r>
              <w:rPr>
                <w:rFonts w:hint="eastAsia" w:ascii="宋体" w:hAnsi="宋体"/>
                <w:bCs/>
                <w:szCs w:val="21"/>
              </w:rPr>
              <w:t>符合</w:t>
            </w:r>
          </w:p>
        </w:tc>
      </w:tr>
      <w:tr w14:paraId="514D3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EE128E0">
            <w:pPr>
              <w:spacing w:line="300" w:lineRule="exact"/>
              <w:jc w:val="center"/>
              <w:rPr>
                <w:rFonts w:ascii="宋体" w:hAnsi="宋体"/>
                <w:bCs/>
                <w:szCs w:val="21"/>
              </w:rPr>
            </w:pPr>
            <w:r>
              <w:rPr>
                <w:rFonts w:hint="eastAsia" w:ascii="宋体" w:hAnsi="宋体"/>
                <w:bCs/>
                <w:szCs w:val="21"/>
              </w:rPr>
              <w:t>4</w:t>
            </w:r>
          </w:p>
        </w:tc>
        <w:tc>
          <w:tcPr>
            <w:tcW w:w="3099" w:type="dxa"/>
            <w:tcBorders>
              <w:top w:val="single" w:color="auto" w:sz="4" w:space="0"/>
              <w:left w:val="single" w:color="auto" w:sz="4" w:space="0"/>
              <w:bottom w:val="single" w:color="auto" w:sz="4" w:space="0"/>
              <w:right w:val="single" w:color="auto" w:sz="4" w:space="0"/>
            </w:tcBorders>
            <w:vAlign w:val="center"/>
          </w:tcPr>
          <w:p w14:paraId="6997A633">
            <w:pPr>
              <w:spacing w:line="300" w:lineRule="exact"/>
              <w:rPr>
                <w:rFonts w:ascii="宋体" w:hAnsi="宋体"/>
                <w:bCs/>
                <w:szCs w:val="21"/>
              </w:rPr>
            </w:pPr>
            <w:r>
              <w:rPr>
                <w:rFonts w:hint="eastAsia" w:ascii="宋体" w:hAnsi="宋体"/>
                <w:bCs/>
                <w:szCs w:val="21"/>
              </w:rPr>
              <w:t>加油加气加氢站作业区内，不得有“明火地点”或“散发火花地点”。</w:t>
            </w:r>
          </w:p>
        </w:tc>
        <w:tc>
          <w:tcPr>
            <w:tcW w:w="2133" w:type="dxa"/>
            <w:tcBorders>
              <w:top w:val="single" w:color="auto" w:sz="4" w:space="0"/>
              <w:left w:val="single" w:color="auto" w:sz="4" w:space="0"/>
              <w:bottom w:val="single" w:color="auto" w:sz="4" w:space="0"/>
              <w:right w:val="single" w:color="auto" w:sz="4" w:space="0"/>
            </w:tcBorders>
            <w:vAlign w:val="center"/>
          </w:tcPr>
          <w:p w14:paraId="00232601">
            <w:pPr>
              <w:spacing w:line="300" w:lineRule="exact"/>
              <w:rPr>
                <w:rFonts w:ascii="宋体" w:hAnsi="宋体"/>
                <w:bCs/>
                <w:szCs w:val="21"/>
              </w:rPr>
            </w:pPr>
            <w:r>
              <w:rPr>
                <w:rFonts w:hint="eastAsia" w:ascii="宋体" w:hAnsi="宋体"/>
                <w:szCs w:val="21"/>
              </w:rPr>
              <w:t>《汽车加油加气加氢站技术标准》（GB50156-2021）5.0.5</w:t>
            </w:r>
          </w:p>
        </w:tc>
        <w:tc>
          <w:tcPr>
            <w:tcW w:w="1734" w:type="dxa"/>
            <w:tcBorders>
              <w:top w:val="single" w:color="auto" w:sz="4" w:space="0"/>
              <w:left w:val="single" w:color="auto" w:sz="4" w:space="0"/>
              <w:bottom w:val="single" w:color="auto" w:sz="4" w:space="0"/>
              <w:right w:val="single" w:color="auto" w:sz="4" w:space="0"/>
            </w:tcBorders>
            <w:vAlign w:val="center"/>
          </w:tcPr>
          <w:p w14:paraId="593F2FA2">
            <w:pPr>
              <w:spacing w:line="300" w:lineRule="exact"/>
              <w:rPr>
                <w:rFonts w:ascii="宋体" w:hAnsi="宋体"/>
                <w:bCs/>
                <w:szCs w:val="21"/>
              </w:rPr>
            </w:pPr>
            <w:r>
              <w:rPr>
                <w:rFonts w:hint="eastAsia" w:ascii="宋体" w:hAnsi="宋体"/>
                <w:bCs/>
                <w:szCs w:val="21"/>
              </w:rPr>
              <w:t>无“明火地点”或“散发火花地点。</w:t>
            </w:r>
          </w:p>
        </w:tc>
        <w:tc>
          <w:tcPr>
            <w:tcW w:w="1026" w:type="dxa"/>
            <w:tcBorders>
              <w:top w:val="single" w:color="auto" w:sz="4" w:space="0"/>
              <w:left w:val="single" w:color="auto" w:sz="4" w:space="0"/>
              <w:bottom w:val="single" w:color="auto" w:sz="4" w:space="0"/>
              <w:right w:val="single" w:color="auto" w:sz="4" w:space="0"/>
            </w:tcBorders>
            <w:vAlign w:val="center"/>
          </w:tcPr>
          <w:p w14:paraId="0E8ED8E8">
            <w:pPr>
              <w:spacing w:line="300" w:lineRule="exact"/>
              <w:jc w:val="center"/>
              <w:rPr>
                <w:rFonts w:ascii="宋体" w:hAnsi="宋体"/>
                <w:bCs/>
                <w:szCs w:val="21"/>
              </w:rPr>
            </w:pPr>
            <w:r>
              <w:rPr>
                <w:rFonts w:hint="eastAsia" w:ascii="宋体" w:hAnsi="宋体"/>
                <w:bCs/>
                <w:szCs w:val="21"/>
              </w:rPr>
              <w:t>符合</w:t>
            </w:r>
          </w:p>
        </w:tc>
      </w:tr>
      <w:tr w14:paraId="48140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890AC7B">
            <w:pPr>
              <w:spacing w:line="300" w:lineRule="exact"/>
              <w:jc w:val="center"/>
              <w:rPr>
                <w:rFonts w:ascii="宋体" w:hAnsi="宋体"/>
                <w:bCs/>
                <w:szCs w:val="21"/>
              </w:rPr>
            </w:pPr>
            <w:r>
              <w:rPr>
                <w:rFonts w:hint="eastAsia" w:ascii="宋体" w:hAnsi="宋体"/>
                <w:bCs/>
                <w:szCs w:val="21"/>
              </w:rPr>
              <w:t>5</w:t>
            </w:r>
          </w:p>
        </w:tc>
        <w:tc>
          <w:tcPr>
            <w:tcW w:w="3099" w:type="dxa"/>
            <w:tcBorders>
              <w:top w:val="single" w:color="auto" w:sz="4" w:space="0"/>
              <w:left w:val="single" w:color="auto" w:sz="4" w:space="0"/>
              <w:bottom w:val="single" w:color="auto" w:sz="4" w:space="0"/>
              <w:right w:val="single" w:color="auto" w:sz="4" w:space="0"/>
            </w:tcBorders>
            <w:vAlign w:val="center"/>
          </w:tcPr>
          <w:p w14:paraId="4BBA2E75">
            <w:pPr>
              <w:spacing w:line="300" w:lineRule="exact"/>
              <w:rPr>
                <w:rFonts w:ascii="宋体" w:hAnsi="宋体"/>
                <w:bCs/>
                <w:szCs w:val="21"/>
              </w:rPr>
            </w:pPr>
            <w:r>
              <w:rPr>
                <w:rFonts w:hint="eastAsia" w:ascii="宋体" w:hAnsi="宋体"/>
                <w:bCs/>
                <w:szCs w:val="21"/>
              </w:rPr>
              <w:t>加油加气加氢站的变配电间或室外变压器应布置在作业区之外，变配电间的起算点应为门窗等洞口。</w:t>
            </w:r>
          </w:p>
        </w:tc>
        <w:tc>
          <w:tcPr>
            <w:tcW w:w="2133" w:type="dxa"/>
            <w:tcBorders>
              <w:top w:val="single" w:color="auto" w:sz="4" w:space="0"/>
              <w:left w:val="single" w:color="auto" w:sz="4" w:space="0"/>
              <w:bottom w:val="single" w:color="auto" w:sz="4" w:space="0"/>
              <w:right w:val="single" w:color="auto" w:sz="4" w:space="0"/>
            </w:tcBorders>
            <w:vAlign w:val="center"/>
          </w:tcPr>
          <w:p w14:paraId="3BDF4989">
            <w:pPr>
              <w:spacing w:line="300" w:lineRule="exact"/>
              <w:rPr>
                <w:rFonts w:ascii="宋体" w:hAnsi="宋体"/>
                <w:bCs/>
                <w:szCs w:val="21"/>
              </w:rPr>
            </w:pPr>
            <w:r>
              <w:rPr>
                <w:rFonts w:hint="eastAsia" w:ascii="宋体" w:hAnsi="宋体"/>
                <w:szCs w:val="21"/>
              </w:rPr>
              <w:t>《汽车加油加气加氢站技术标准》（GB50156-2021）5.0.8</w:t>
            </w:r>
          </w:p>
        </w:tc>
        <w:tc>
          <w:tcPr>
            <w:tcW w:w="1734" w:type="dxa"/>
            <w:tcBorders>
              <w:top w:val="single" w:color="auto" w:sz="4" w:space="0"/>
              <w:left w:val="single" w:color="auto" w:sz="4" w:space="0"/>
              <w:bottom w:val="single" w:color="auto" w:sz="4" w:space="0"/>
              <w:right w:val="single" w:color="auto" w:sz="4" w:space="0"/>
            </w:tcBorders>
            <w:vAlign w:val="center"/>
          </w:tcPr>
          <w:p w14:paraId="795E642F">
            <w:pPr>
              <w:spacing w:line="300" w:lineRule="exact"/>
              <w:rPr>
                <w:rFonts w:ascii="宋体" w:hAnsi="宋体"/>
                <w:bCs/>
                <w:szCs w:val="21"/>
              </w:rPr>
            </w:pPr>
            <w:r>
              <w:rPr>
                <w:rFonts w:hint="eastAsia" w:ascii="宋体" w:hAnsi="宋体"/>
                <w:bCs/>
                <w:szCs w:val="21"/>
              </w:rPr>
              <w:t>加油站站内设备与配电室距离符合要求。</w:t>
            </w:r>
          </w:p>
        </w:tc>
        <w:tc>
          <w:tcPr>
            <w:tcW w:w="1026" w:type="dxa"/>
            <w:tcBorders>
              <w:top w:val="single" w:color="auto" w:sz="4" w:space="0"/>
              <w:left w:val="single" w:color="auto" w:sz="4" w:space="0"/>
              <w:bottom w:val="single" w:color="auto" w:sz="4" w:space="0"/>
              <w:right w:val="single" w:color="auto" w:sz="4" w:space="0"/>
            </w:tcBorders>
            <w:vAlign w:val="center"/>
          </w:tcPr>
          <w:p w14:paraId="7D59FD22">
            <w:pPr>
              <w:spacing w:line="300" w:lineRule="exact"/>
              <w:jc w:val="center"/>
              <w:rPr>
                <w:rFonts w:ascii="宋体" w:hAnsi="宋体"/>
                <w:bCs/>
                <w:szCs w:val="21"/>
              </w:rPr>
            </w:pPr>
            <w:r>
              <w:rPr>
                <w:rFonts w:hint="eastAsia" w:ascii="宋体" w:hAnsi="宋体"/>
                <w:bCs/>
                <w:szCs w:val="21"/>
              </w:rPr>
              <w:t>符合</w:t>
            </w:r>
          </w:p>
        </w:tc>
      </w:tr>
      <w:tr w14:paraId="14BFC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6AB1343">
            <w:pPr>
              <w:spacing w:line="300" w:lineRule="exact"/>
              <w:jc w:val="center"/>
              <w:rPr>
                <w:rFonts w:ascii="宋体" w:hAnsi="宋体"/>
                <w:bCs/>
                <w:szCs w:val="21"/>
              </w:rPr>
            </w:pPr>
            <w:r>
              <w:rPr>
                <w:rFonts w:hint="eastAsia" w:ascii="宋体" w:hAnsi="宋体"/>
                <w:bCs/>
                <w:szCs w:val="21"/>
              </w:rPr>
              <w:t>6</w:t>
            </w:r>
          </w:p>
        </w:tc>
        <w:tc>
          <w:tcPr>
            <w:tcW w:w="3099" w:type="dxa"/>
            <w:tcBorders>
              <w:top w:val="single" w:color="auto" w:sz="4" w:space="0"/>
              <w:left w:val="single" w:color="auto" w:sz="4" w:space="0"/>
              <w:bottom w:val="single" w:color="auto" w:sz="4" w:space="0"/>
              <w:right w:val="single" w:color="auto" w:sz="4" w:space="0"/>
            </w:tcBorders>
            <w:vAlign w:val="center"/>
          </w:tcPr>
          <w:p w14:paraId="7A478F03">
            <w:pPr>
              <w:spacing w:line="300" w:lineRule="exact"/>
              <w:rPr>
                <w:rFonts w:ascii="宋体" w:hAnsi="宋体"/>
                <w:bCs/>
                <w:szCs w:val="21"/>
              </w:rPr>
            </w:pPr>
            <w:r>
              <w:rPr>
                <w:rFonts w:hint="eastAsia" w:ascii="宋体" w:hAnsi="宋体"/>
                <w:bCs/>
                <w:szCs w:val="21"/>
              </w:rPr>
              <w:t>站房不应布置在爆炸危险区域内。</w:t>
            </w:r>
          </w:p>
        </w:tc>
        <w:tc>
          <w:tcPr>
            <w:tcW w:w="2133" w:type="dxa"/>
            <w:tcBorders>
              <w:top w:val="single" w:color="auto" w:sz="4" w:space="0"/>
              <w:left w:val="single" w:color="auto" w:sz="4" w:space="0"/>
              <w:bottom w:val="single" w:color="auto" w:sz="4" w:space="0"/>
              <w:right w:val="single" w:color="auto" w:sz="4" w:space="0"/>
            </w:tcBorders>
            <w:vAlign w:val="center"/>
          </w:tcPr>
          <w:p w14:paraId="038739D4">
            <w:pPr>
              <w:spacing w:line="300" w:lineRule="exact"/>
              <w:rPr>
                <w:rFonts w:ascii="宋体" w:hAnsi="宋体"/>
                <w:bCs/>
                <w:szCs w:val="21"/>
              </w:rPr>
            </w:pPr>
            <w:r>
              <w:rPr>
                <w:rFonts w:hint="eastAsia" w:ascii="宋体" w:hAnsi="宋体"/>
                <w:szCs w:val="21"/>
              </w:rPr>
              <w:t>《汽车加油加气加氢站技术标准》（GB50156-2021）5.0.9</w:t>
            </w:r>
          </w:p>
        </w:tc>
        <w:tc>
          <w:tcPr>
            <w:tcW w:w="1734" w:type="dxa"/>
            <w:tcBorders>
              <w:top w:val="single" w:color="auto" w:sz="4" w:space="0"/>
              <w:left w:val="single" w:color="auto" w:sz="4" w:space="0"/>
              <w:bottom w:val="single" w:color="auto" w:sz="4" w:space="0"/>
              <w:right w:val="single" w:color="auto" w:sz="4" w:space="0"/>
            </w:tcBorders>
            <w:vAlign w:val="center"/>
          </w:tcPr>
          <w:p w14:paraId="50CEA32E">
            <w:pPr>
              <w:spacing w:line="300" w:lineRule="exact"/>
              <w:rPr>
                <w:rFonts w:ascii="宋体" w:hAnsi="宋体"/>
                <w:bCs/>
                <w:szCs w:val="21"/>
              </w:rPr>
            </w:pPr>
            <w:r>
              <w:rPr>
                <w:rFonts w:hint="eastAsia" w:ascii="宋体" w:hAnsi="宋体"/>
                <w:bCs/>
                <w:szCs w:val="21"/>
              </w:rPr>
              <w:t>不在爆炸危险区域内。</w:t>
            </w:r>
          </w:p>
        </w:tc>
        <w:tc>
          <w:tcPr>
            <w:tcW w:w="1026" w:type="dxa"/>
            <w:tcBorders>
              <w:top w:val="single" w:color="auto" w:sz="4" w:space="0"/>
              <w:left w:val="single" w:color="auto" w:sz="4" w:space="0"/>
              <w:bottom w:val="single" w:color="auto" w:sz="4" w:space="0"/>
              <w:right w:val="single" w:color="auto" w:sz="4" w:space="0"/>
            </w:tcBorders>
            <w:vAlign w:val="center"/>
          </w:tcPr>
          <w:p w14:paraId="2306F17D">
            <w:pPr>
              <w:spacing w:line="300" w:lineRule="exact"/>
              <w:jc w:val="center"/>
              <w:rPr>
                <w:rFonts w:ascii="宋体" w:hAnsi="宋体"/>
                <w:bCs/>
                <w:szCs w:val="21"/>
              </w:rPr>
            </w:pPr>
            <w:r>
              <w:rPr>
                <w:rFonts w:hint="eastAsia" w:ascii="宋体" w:hAnsi="宋体"/>
                <w:bCs/>
                <w:szCs w:val="21"/>
              </w:rPr>
              <w:t>符合</w:t>
            </w:r>
          </w:p>
        </w:tc>
      </w:tr>
      <w:tr w14:paraId="64039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FB3F4E5">
            <w:pPr>
              <w:spacing w:line="300" w:lineRule="exact"/>
              <w:jc w:val="center"/>
              <w:rPr>
                <w:rFonts w:ascii="宋体" w:hAnsi="宋体"/>
                <w:bCs/>
                <w:szCs w:val="21"/>
              </w:rPr>
            </w:pPr>
            <w:r>
              <w:rPr>
                <w:rFonts w:hint="eastAsia" w:ascii="宋体" w:hAnsi="宋体"/>
                <w:bCs/>
                <w:szCs w:val="21"/>
              </w:rPr>
              <w:t>7</w:t>
            </w:r>
          </w:p>
        </w:tc>
        <w:tc>
          <w:tcPr>
            <w:tcW w:w="3099" w:type="dxa"/>
            <w:tcBorders>
              <w:top w:val="single" w:color="auto" w:sz="4" w:space="0"/>
              <w:left w:val="single" w:color="auto" w:sz="4" w:space="0"/>
              <w:bottom w:val="single" w:color="auto" w:sz="4" w:space="0"/>
              <w:right w:val="single" w:color="auto" w:sz="4" w:space="0"/>
            </w:tcBorders>
            <w:vAlign w:val="center"/>
          </w:tcPr>
          <w:p w14:paraId="15D6CE9A">
            <w:pPr>
              <w:spacing w:line="300" w:lineRule="exact"/>
              <w:rPr>
                <w:rFonts w:ascii="宋体" w:hAnsi="宋体"/>
                <w:bCs/>
                <w:szCs w:val="21"/>
              </w:rPr>
            </w:pPr>
            <w:r>
              <w:rPr>
                <w:rFonts w:hint="eastAsia" w:ascii="宋体" w:hAnsi="宋体"/>
                <w:bCs/>
                <w:szCs w:val="21"/>
              </w:rPr>
              <w:t>加油加气加氢站内的爆炸危险区域，不应超出站区围墙和可用地界线。</w:t>
            </w:r>
          </w:p>
        </w:tc>
        <w:tc>
          <w:tcPr>
            <w:tcW w:w="2133" w:type="dxa"/>
            <w:tcBorders>
              <w:top w:val="single" w:color="auto" w:sz="4" w:space="0"/>
              <w:left w:val="single" w:color="auto" w:sz="4" w:space="0"/>
              <w:bottom w:val="single" w:color="auto" w:sz="4" w:space="0"/>
              <w:right w:val="single" w:color="auto" w:sz="4" w:space="0"/>
            </w:tcBorders>
            <w:vAlign w:val="center"/>
          </w:tcPr>
          <w:p w14:paraId="4A435649">
            <w:pPr>
              <w:spacing w:line="300" w:lineRule="exact"/>
              <w:rPr>
                <w:rFonts w:ascii="宋体" w:hAnsi="宋体"/>
                <w:bCs/>
                <w:szCs w:val="21"/>
              </w:rPr>
            </w:pPr>
            <w:r>
              <w:rPr>
                <w:rFonts w:hint="eastAsia" w:ascii="宋体" w:hAnsi="宋体"/>
                <w:szCs w:val="21"/>
              </w:rPr>
              <w:t>《汽车加油加气加氢站技术标准》（GB50156-2021）5.0.11</w:t>
            </w:r>
          </w:p>
        </w:tc>
        <w:tc>
          <w:tcPr>
            <w:tcW w:w="1734" w:type="dxa"/>
            <w:tcBorders>
              <w:top w:val="single" w:color="auto" w:sz="4" w:space="0"/>
              <w:left w:val="single" w:color="auto" w:sz="4" w:space="0"/>
              <w:bottom w:val="single" w:color="auto" w:sz="4" w:space="0"/>
              <w:right w:val="single" w:color="auto" w:sz="4" w:space="0"/>
            </w:tcBorders>
            <w:vAlign w:val="center"/>
          </w:tcPr>
          <w:p w14:paraId="71371812">
            <w:pPr>
              <w:spacing w:line="300" w:lineRule="exact"/>
              <w:rPr>
                <w:rFonts w:ascii="宋体" w:hAnsi="宋体"/>
                <w:bCs/>
                <w:szCs w:val="21"/>
              </w:rPr>
            </w:pPr>
            <w:r>
              <w:rPr>
                <w:rFonts w:hint="eastAsia" w:ascii="宋体" w:hAnsi="宋体"/>
                <w:bCs/>
                <w:szCs w:val="21"/>
              </w:rPr>
              <w:t>爆炸危险区域未超出站内可用地界线。</w:t>
            </w:r>
          </w:p>
        </w:tc>
        <w:tc>
          <w:tcPr>
            <w:tcW w:w="1026" w:type="dxa"/>
            <w:tcBorders>
              <w:top w:val="single" w:color="auto" w:sz="4" w:space="0"/>
              <w:left w:val="single" w:color="auto" w:sz="4" w:space="0"/>
              <w:bottom w:val="single" w:color="auto" w:sz="4" w:space="0"/>
              <w:right w:val="single" w:color="auto" w:sz="4" w:space="0"/>
            </w:tcBorders>
            <w:vAlign w:val="center"/>
          </w:tcPr>
          <w:p w14:paraId="16067D6B">
            <w:pPr>
              <w:spacing w:line="300" w:lineRule="exact"/>
              <w:jc w:val="center"/>
              <w:rPr>
                <w:rFonts w:ascii="宋体" w:hAnsi="宋体"/>
                <w:bCs/>
                <w:szCs w:val="21"/>
              </w:rPr>
            </w:pPr>
            <w:r>
              <w:rPr>
                <w:rFonts w:hint="eastAsia" w:ascii="宋体" w:hAnsi="宋体"/>
                <w:bCs/>
                <w:szCs w:val="21"/>
              </w:rPr>
              <w:t>符合</w:t>
            </w:r>
          </w:p>
        </w:tc>
      </w:tr>
      <w:tr w14:paraId="0B48C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B75CFB8">
            <w:pPr>
              <w:spacing w:line="300" w:lineRule="exact"/>
              <w:jc w:val="center"/>
              <w:rPr>
                <w:rFonts w:ascii="宋体" w:hAnsi="宋体"/>
                <w:bCs/>
                <w:szCs w:val="21"/>
              </w:rPr>
            </w:pPr>
            <w:r>
              <w:rPr>
                <w:rFonts w:hint="eastAsia" w:ascii="宋体" w:hAnsi="宋体"/>
                <w:bCs/>
                <w:szCs w:val="21"/>
              </w:rPr>
              <w:t>8</w:t>
            </w:r>
          </w:p>
        </w:tc>
        <w:tc>
          <w:tcPr>
            <w:tcW w:w="3099" w:type="dxa"/>
            <w:tcBorders>
              <w:top w:val="single" w:color="auto" w:sz="4" w:space="0"/>
              <w:left w:val="single" w:color="auto" w:sz="4" w:space="0"/>
              <w:bottom w:val="single" w:color="auto" w:sz="4" w:space="0"/>
              <w:right w:val="single" w:color="auto" w:sz="4" w:space="0"/>
            </w:tcBorders>
            <w:vAlign w:val="center"/>
          </w:tcPr>
          <w:p w14:paraId="72121BC4">
            <w:pPr>
              <w:spacing w:line="300" w:lineRule="exact"/>
              <w:rPr>
                <w:rFonts w:ascii="宋体" w:hAnsi="宋体"/>
                <w:bCs/>
                <w:szCs w:val="21"/>
              </w:rPr>
            </w:pPr>
            <w:r>
              <w:rPr>
                <w:rFonts w:hint="eastAsia" w:ascii="宋体" w:hAnsi="宋体"/>
                <w:bCs/>
                <w:szCs w:val="21"/>
              </w:rPr>
              <w:t>加油加气加氢站的工艺设备与站外建筑物之间，宜设置不燃烧体实体围墙，围墙高度相对于站内和站外地坪均不宜低于2.2m。</w:t>
            </w:r>
            <w:r>
              <w:rPr>
                <w:rFonts w:ascii="宋体" w:hAnsi="宋体"/>
                <w:szCs w:val="21"/>
              </w:rPr>
              <w:t>面向进、出口道路的一侧</w:t>
            </w:r>
            <w:r>
              <w:rPr>
                <w:rFonts w:hint="eastAsia" w:ascii="宋体" w:hAnsi="宋体"/>
                <w:szCs w:val="21"/>
              </w:rPr>
              <w:t>可</w:t>
            </w:r>
            <w:r>
              <w:rPr>
                <w:rFonts w:ascii="宋体" w:hAnsi="宋体"/>
                <w:szCs w:val="21"/>
              </w:rPr>
              <w:t>设置</w:t>
            </w:r>
            <w:r>
              <w:rPr>
                <w:rFonts w:hint="eastAsia" w:ascii="宋体" w:hAnsi="宋体"/>
                <w:szCs w:val="21"/>
              </w:rPr>
              <w:t>非实体围墙或不设围墙。</w:t>
            </w:r>
          </w:p>
        </w:tc>
        <w:tc>
          <w:tcPr>
            <w:tcW w:w="2133" w:type="dxa"/>
            <w:tcBorders>
              <w:top w:val="single" w:color="auto" w:sz="4" w:space="0"/>
              <w:left w:val="single" w:color="auto" w:sz="4" w:space="0"/>
              <w:bottom w:val="single" w:color="auto" w:sz="4" w:space="0"/>
              <w:right w:val="single" w:color="auto" w:sz="4" w:space="0"/>
            </w:tcBorders>
            <w:vAlign w:val="center"/>
          </w:tcPr>
          <w:p w14:paraId="7D8FD33B">
            <w:pPr>
              <w:spacing w:line="300" w:lineRule="exact"/>
              <w:rPr>
                <w:rFonts w:ascii="宋体" w:hAnsi="宋体"/>
                <w:bCs/>
                <w:szCs w:val="21"/>
              </w:rPr>
            </w:pPr>
            <w:r>
              <w:rPr>
                <w:rFonts w:hint="eastAsia" w:ascii="宋体" w:hAnsi="宋体"/>
                <w:szCs w:val="21"/>
              </w:rPr>
              <w:t>《汽车加油加气加氢站技术标准》（GB50156-2021）5.0.12</w:t>
            </w:r>
          </w:p>
        </w:tc>
        <w:tc>
          <w:tcPr>
            <w:tcW w:w="1734" w:type="dxa"/>
            <w:tcBorders>
              <w:top w:val="single" w:color="auto" w:sz="4" w:space="0"/>
              <w:left w:val="single" w:color="auto" w:sz="4" w:space="0"/>
              <w:bottom w:val="single" w:color="auto" w:sz="4" w:space="0"/>
              <w:right w:val="single" w:color="auto" w:sz="4" w:space="0"/>
            </w:tcBorders>
            <w:vAlign w:val="center"/>
          </w:tcPr>
          <w:p w14:paraId="43215A12">
            <w:pPr>
              <w:spacing w:line="300" w:lineRule="exact"/>
              <w:rPr>
                <w:rFonts w:ascii="宋体" w:hAnsi="宋体"/>
                <w:bCs/>
                <w:szCs w:val="21"/>
              </w:rPr>
            </w:pPr>
            <w:r>
              <w:rPr>
                <w:rFonts w:hint="eastAsia" w:ascii="宋体" w:hAnsi="宋体"/>
                <w:bCs/>
                <w:szCs w:val="21"/>
              </w:rPr>
              <w:t>除进出口一侧及东侧采用敞开设置其他几面均为实体围墙。</w:t>
            </w:r>
          </w:p>
        </w:tc>
        <w:tc>
          <w:tcPr>
            <w:tcW w:w="1026" w:type="dxa"/>
            <w:tcBorders>
              <w:top w:val="single" w:color="auto" w:sz="4" w:space="0"/>
              <w:left w:val="single" w:color="auto" w:sz="4" w:space="0"/>
              <w:bottom w:val="single" w:color="auto" w:sz="4" w:space="0"/>
              <w:right w:val="single" w:color="auto" w:sz="4" w:space="0"/>
            </w:tcBorders>
            <w:vAlign w:val="center"/>
          </w:tcPr>
          <w:p w14:paraId="25C52370">
            <w:pPr>
              <w:spacing w:line="300" w:lineRule="exact"/>
              <w:jc w:val="center"/>
              <w:rPr>
                <w:rFonts w:ascii="宋体" w:hAnsi="宋体"/>
                <w:bCs/>
                <w:szCs w:val="21"/>
              </w:rPr>
            </w:pPr>
            <w:r>
              <w:rPr>
                <w:rFonts w:hint="eastAsia" w:ascii="宋体" w:hAnsi="宋体"/>
                <w:bCs/>
                <w:szCs w:val="21"/>
              </w:rPr>
              <w:t>符合</w:t>
            </w:r>
          </w:p>
        </w:tc>
      </w:tr>
    </w:tbl>
    <w:p w14:paraId="447DD3FB">
      <w:pPr>
        <w:ind w:firstLine="560" w:firstLineChars="200"/>
        <w:rPr>
          <w:rFonts w:ascii="宋体" w:hAnsi="宋体"/>
          <w:sz w:val="28"/>
        </w:rPr>
      </w:pPr>
      <w:r>
        <w:rPr>
          <w:rFonts w:hint="eastAsia" w:ascii="宋体" w:hAnsi="宋体"/>
          <w:sz w:val="28"/>
        </w:rPr>
        <w:t>由上表可知：该加油站总平面布置均符合《汽车加油加气加氢站技术标准》（GB50156-2021）的要求。</w:t>
      </w:r>
    </w:p>
    <w:p w14:paraId="633D536F">
      <w:pPr>
        <w:pStyle w:val="4"/>
        <w:spacing w:afterLines="100" w:line="500" w:lineRule="exact"/>
        <w:rPr>
          <w:rFonts w:ascii="黑体" w:hAnsi="宋体"/>
          <w:kern w:val="3"/>
          <w:sz w:val="28"/>
          <w:szCs w:val="28"/>
        </w:rPr>
      </w:pPr>
      <w:bookmarkStart w:id="460" w:name="_Toc71894943"/>
      <w:r>
        <w:rPr>
          <w:rFonts w:hint="eastAsia" w:ascii="黑体" w:hAnsi="宋体"/>
          <w:kern w:val="3"/>
          <w:sz w:val="28"/>
          <w:szCs w:val="28"/>
        </w:rPr>
        <w:t>6.2.2站内设施防火距离</w:t>
      </w:r>
      <w:bookmarkEnd w:id="460"/>
    </w:p>
    <w:p w14:paraId="477996DF">
      <w:pPr>
        <w:jc w:val="center"/>
        <w:rPr>
          <w:rFonts w:hint="eastAsia" w:ascii="宋体" w:hAnsi="宋体"/>
          <w:bCs/>
          <w:sz w:val="28"/>
          <w:szCs w:val="28"/>
        </w:rPr>
      </w:pPr>
      <w:r>
        <w:rPr>
          <w:rFonts w:hint="eastAsia" w:ascii="宋体" w:hAnsi="宋体"/>
          <w:bCs/>
          <w:sz w:val="28"/>
          <w:szCs w:val="28"/>
        </w:rPr>
        <w:t>表6-5站内设施之间的防火距离（m）</w:t>
      </w:r>
    </w:p>
    <w:tbl>
      <w:tblPr>
        <w:tblStyle w:val="33"/>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3927"/>
        <w:gridCol w:w="1071"/>
        <w:gridCol w:w="1478"/>
        <w:gridCol w:w="1275"/>
      </w:tblGrid>
      <w:tr w14:paraId="5332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663" w:type="dxa"/>
            <w:vMerge w:val="restart"/>
            <w:vAlign w:val="center"/>
          </w:tcPr>
          <w:p w14:paraId="12EE4316">
            <w:pPr>
              <w:jc w:val="center"/>
              <w:rPr>
                <w:rFonts w:ascii="宋体" w:hAnsi="宋体"/>
                <w:color w:val="000000"/>
                <w:szCs w:val="21"/>
              </w:rPr>
            </w:pPr>
            <w:r>
              <w:rPr>
                <w:rFonts w:hint="eastAsia" w:ascii="宋体" w:hAnsi="宋体"/>
                <w:color w:val="000000"/>
                <w:szCs w:val="21"/>
              </w:rPr>
              <w:t>序号</w:t>
            </w:r>
          </w:p>
        </w:tc>
        <w:tc>
          <w:tcPr>
            <w:tcW w:w="3927" w:type="dxa"/>
            <w:vMerge w:val="restart"/>
            <w:vAlign w:val="center"/>
          </w:tcPr>
          <w:p w14:paraId="3C06DCA7">
            <w:pPr>
              <w:jc w:val="center"/>
              <w:rPr>
                <w:rFonts w:ascii="宋体" w:hAnsi="宋体"/>
                <w:color w:val="000000"/>
                <w:szCs w:val="21"/>
              </w:rPr>
            </w:pPr>
            <w:r>
              <w:rPr>
                <w:rFonts w:hint="eastAsia" w:ascii="宋体" w:hAnsi="宋体"/>
                <w:color w:val="000000"/>
                <w:szCs w:val="21"/>
              </w:rPr>
              <w:t>项        目</w:t>
            </w:r>
          </w:p>
        </w:tc>
        <w:tc>
          <w:tcPr>
            <w:tcW w:w="2549" w:type="dxa"/>
            <w:gridSpan w:val="2"/>
            <w:vAlign w:val="center"/>
          </w:tcPr>
          <w:p w14:paraId="238FD8FE">
            <w:pPr>
              <w:jc w:val="center"/>
              <w:rPr>
                <w:rFonts w:ascii="宋体" w:hAnsi="宋体"/>
                <w:color w:val="000000"/>
                <w:szCs w:val="21"/>
              </w:rPr>
            </w:pPr>
            <w:r>
              <w:rPr>
                <w:rFonts w:hint="eastAsia" w:ascii="宋体" w:hAnsi="宋体"/>
                <w:color w:val="000000"/>
                <w:szCs w:val="21"/>
              </w:rPr>
              <w:t>距         离</w:t>
            </w:r>
            <w:r>
              <w:rPr>
                <w:rFonts w:hint="eastAsia" w:ascii="宋体" w:hAnsi="宋体"/>
                <w:color w:val="000000"/>
                <w:sz w:val="24"/>
                <w:szCs w:val="28"/>
              </w:rPr>
              <w:t>（m）</w:t>
            </w:r>
          </w:p>
        </w:tc>
        <w:tc>
          <w:tcPr>
            <w:tcW w:w="1275" w:type="dxa"/>
            <w:vAlign w:val="center"/>
          </w:tcPr>
          <w:p w14:paraId="5C437626">
            <w:pPr>
              <w:jc w:val="center"/>
              <w:rPr>
                <w:rFonts w:ascii="宋体" w:hAnsi="宋体"/>
                <w:color w:val="000000"/>
                <w:szCs w:val="21"/>
              </w:rPr>
            </w:pPr>
            <w:r>
              <w:rPr>
                <w:rFonts w:hint="eastAsia" w:ascii="宋体" w:hAnsi="宋体"/>
                <w:color w:val="000000"/>
                <w:szCs w:val="21"/>
              </w:rPr>
              <w:t>结论</w:t>
            </w:r>
          </w:p>
        </w:tc>
      </w:tr>
      <w:tr w14:paraId="63E4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663" w:type="dxa"/>
            <w:vMerge w:val="continue"/>
            <w:vAlign w:val="center"/>
          </w:tcPr>
          <w:p w14:paraId="0D9D860D">
            <w:pPr>
              <w:jc w:val="center"/>
              <w:rPr>
                <w:rFonts w:ascii="宋体" w:hAnsi="宋体"/>
                <w:color w:val="000000"/>
                <w:szCs w:val="21"/>
              </w:rPr>
            </w:pPr>
          </w:p>
        </w:tc>
        <w:tc>
          <w:tcPr>
            <w:tcW w:w="3927" w:type="dxa"/>
            <w:vMerge w:val="continue"/>
            <w:vAlign w:val="center"/>
          </w:tcPr>
          <w:p w14:paraId="46C94BD5">
            <w:pPr>
              <w:jc w:val="center"/>
              <w:rPr>
                <w:rFonts w:ascii="宋体" w:hAnsi="宋体"/>
                <w:color w:val="000000"/>
                <w:szCs w:val="21"/>
              </w:rPr>
            </w:pPr>
          </w:p>
        </w:tc>
        <w:tc>
          <w:tcPr>
            <w:tcW w:w="1071" w:type="dxa"/>
            <w:vAlign w:val="center"/>
          </w:tcPr>
          <w:p w14:paraId="58115BB8">
            <w:pPr>
              <w:jc w:val="center"/>
              <w:rPr>
                <w:rFonts w:ascii="宋体" w:hAnsi="宋体"/>
                <w:color w:val="000000"/>
                <w:szCs w:val="21"/>
              </w:rPr>
            </w:pPr>
            <w:r>
              <w:rPr>
                <w:rFonts w:hint="eastAsia" w:ascii="宋体" w:hAnsi="宋体"/>
                <w:color w:val="000000"/>
                <w:szCs w:val="21"/>
              </w:rPr>
              <w:t>标准值</w:t>
            </w:r>
          </w:p>
        </w:tc>
        <w:tc>
          <w:tcPr>
            <w:tcW w:w="1478" w:type="dxa"/>
            <w:vAlign w:val="center"/>
          </w:tcPr>
          <w:p w14:paraId="04158438">
            <w:pPr>
              <w:jc w:val="center"/>
              <w:rPr>
                <w:rFonts w:ascii="宋体" w:hAnsi="宋体"/>
                <w:color w:val="000000"/>
                <w:szCs w:val="21"/>
              </w:rPr>
            </w:pPr>
            <w:r>
              <w:rPr>
                <w:rFonts w:hint="eastAsia" w:ascii="宋体" w:hAnsi="宋体"/>
                <w:color w:val="000000"/>
                <w:szCs w:val="21"/>
              </w:rPr>
              <w:t>实际值</w:t>
            </w:r>
          </w:p>
        </w:tc>
        <w:tc>
          <w:tcPr>
            <w:tcW w:w="1275" w:type="dxa"/>
            <w:vAlign w:val="center"/>
          </w:tcPr>
          <w:p w14:paraId="41C7974D">
            <w:pPr>
              <w:jc w:val="center"/>
              <w:rPr>
                <w:rFonts w:ascii="宋体" w:hAnsi="宋体"/>
                <w:color w:val="000000"/>
                <w:szCs w:val="21"/>
              </w:rPr>
            </w:pPr>
            <w:r>
              <w:rPr>
                <w:rFonts w:hint="eastAsia" w:ascii="宋体" w:hAnsi="宋体"/>
                <w:color w:val="000000"/>
                <w:szCs w:val="21"/>
              </w:rPr>
              <w:t>符合</w:t>
            </w:r>
          </w:p>
        </w:tc>
      </w:tr>
      <w:tr w14:paraId="44C8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42A722AC">
            <w:pPr>
              <w:spacing w:line="340" w:lineRule="exact"/>
              <w:rPr>
                <w:rFonts w:ascii="宋体" w:hAnsi="宋体"/>
                <w:color w:val="000000"/>
                <w:szCs w:val="21"/>
              </w:rPr>
            </w:pPr>
            <w:r>
              <w:rPr>
                <w:rFonts w:hint="eastAsia" w:ascii="宋体" w:hAnsi="宋体"/>
                <w:color w:val="000000"/>
                <w:szCs w:val="21"/>
              </w:rPr>
              <w:t>1</w:t>
            </w:r>
          </w:p>
        </w:tc>
        <w:tc>
          <w:tcPr>
            <w:tcW w:w="3927" w:type="dxa"/>
            <w:vAlign w:val="center"/>
          </w:tcPr>
          <w:p w14:paraId="43EA7B98">
            <w:pPr>
              <w:spacing w:line="340" w:lineRule="exact"/>
              <w:rPr>
                <w:rFonts w:ascii="宋体" w:hAnsi="宋体"/>
                <w:color w:val="000000"/>
                <w:szCs w:val="21"/>
              </w:rPr>
            </w:pPr>
            <w:r>
              <w:rPr>
                <w:rFonts w:hint="eastAsia" w:ascii="宋体" w:hAnsi="宋体"/>
                <w:color w:val="000000"/>
                <w:szCs w:val="21"/>
              </w:rPr>
              <w:t>油罐之间间距</w:t>
            </w:r>
          </w:p>
        </w:tc>
        <w:tc>
          <w:tcPr>
            <w:tcW w:w="1071" w:type="dxa"/>
            <w:vAlign w:val="center"/>
          </w:tcPr>
          <w:p w14:paraId="4918869D">
            <w:pPr>
              <w:spacing w:line="340" w:lineRule="exact"/>
              <w:jc w:val="center"/>
              <w:rPr>
                <w:rFonts w:ascii="宋体" w:hAnsi="宋体"/>
                <w:color w:val="000000"/>
                <w:szCs w:val="21"/>
              </w:rPr>
            </w:pPr>
            <w:r>
              <w:rPr>
                <w:rFonts w:hint="eastAsia" w:ascii="宋体" w:hAnsi="宋体"/>
                <w:color w:val="000000"/>
                <w:szCs w:val="21"/>
              </w:rPr>
              <w:t>0.5</w:t>
            </w:r>
          </w:p>
        </w:tc>
        <w:tc>
          <w:tcPr>
            <w:tcW w:w="1478" w:type="dxa"/>
            <w:vAlign w:val="center"/>
          </w:tcPr>
          <w:p w14:paraId="1FC1CC1C">
            <w:pPr>
              <w:spacing w:line="340" w:lineRule="exact"/>
              <w:jc w:val="center"/>
              <w:rPr>
                <w:rFonts w:ascii="宋体" w:hAnsi="宋体"/>
                <w:color w:val="000000"/>
                <w:szCs w:val="21"/>
              </w:rPr>
            </w:pPr>
            <w:r>
              <w:rPr>
                <w:rFonts w:hint="eastAsia" w:ascii="宋体" w:hAnsi="宋体"/>
                <w:szCs w:val="21"/>
              </w:rPr>
              <w:t>0.5</w:t>
            </w:r>
          </w:p>
        </w:tc>
        <w:tc>
          <w:tcPr>
            <w:tcW w:w="1275" w:type="dxa"/>
            <w:vAlign w:val="center"/>
          </w:tcPr>
          <w:p w14:paraId="742A2783">
            <w:pPr>
              <w:spacing w:line="340" w:lineRule="exact"/>
              <w:jc w:val="center"/>
              <w:rPr>
                <w:rFonts w:ascii="宋体" w:hAnsi="宋体"/>
                <w:color w:val="000000"/>
                <w:szCs w:val="21"/>
              </w:rPr>
            </w:pPr>
            <w:r>
              <w:rPr>
                <w:rFonts w:hint="eastAsia" w:ascii="宋体" w:hAnsi="宋体"/>
                <w:color w:val="000000"/>
                <w:szCs w:val="21"/>
              </w:rPr>
              <w:t>符合</w:t>
            </w:r>
          </w:p>
        </w:tc>
      </w:tr>
      <w:tr w14:paraId="7875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trPr>
        <w:tc>
          <w:tcPr>
            <w:tcW w:w="663" w:type="dxa"/>
          </w:tcPr>
          <w:p w14:paraId="67001961">
            <w:pPr>
              <w:spacing w:line="340" w:lineRule="exact"/>
              <w:rPr>
                <w:rFonts w:ascii="宋体" w:hAnsi="宋体"/>
                <w:color w:val="000000"/>
                <w:szCs w:val="21"/>
              </w:rPr>
            </w:pPr>
            <w:r>
              <w:rPr>
                <w:rFonts w:hint="eastAsia" w:ascii="宋体" w:hAnsi="宋体"/>
                <w:color w:val="000000"/>
                <w:szCs w:val="21"/>
              </w:rPr>
              <w:t>2</w:t>
            </w:r>
          </w:p>
        </w:tc>
        <w:tc>
          <w:tcPr>
            <w:tcW w:w="3927" w:type="dxa"/>
            <w:vAlign w:val="center"/>
          </w:tcPr>
          <w:p w14:paraId="51727AEC">
            <w:pPr>
              <w:spacing w:line="340" w:lineRule="exact"/>
              <w:rPr>
                <w:rFonts w:ascii="宋体" w:hAnsi="宋体"/>
                <w:color w:val="000000"/>
                <w:szCs w:val="21"/>
              </w:rPr>
            </w:pPr>
            <w:r>
              <w:rPr>
                <w:rFonts w:hint="eastAsia" w:ascii="宋体" w:hAnsi="宋体"/>
                <w:color w:val="000000"/>
                <w:szCs w:val="21"/>
              </w:rPr>
              <w:t>汽油罐与站房</w:t>
            </w:r>
          </w:p>
        </w:tc>
        <w:tc>
          <w:tcPr>
            <w:tcW w:w="1071" w:type="dxa"/>
            <w:vAlign w:val="center"/>
          </w:tcPr>
          <w:p w14:paraId="7B27AE5E">
            <w:pPr>
              <w:spacing w:line="340" w:lineRule="exact"/>
              <w:jc w:val="center"/>
              <w:rPr>
                <w:rFonts w:ascii="宋体" w:hAnsi="宋体"/>
                <w:color w:val="000000"/>
                <w:szCs w:val="21"/>
              </w:rPr>
            </w:pPr>
            <w:r>
              <w:rPr>
                <w:rFonts w:hint="eastAsia" w:ascii="宋体" w:hAnsi="宋体"/>
                <w:color w:val="FF0000"/>
                <w:szCs w:val="21"/>
              </w:rPr>
              <w:t>4</w:t>
            </w:r>
          </w:p>
        </w:tc>
        <w:tc>
          <w:tcPr>
            <w:tcW w:w="1478" w:type="dxa"/>
            <w:vAlign w:val="center"/>
          </w:tcPr>
          <w:p w14:paraId="5EA7F099">
            <w:pPr>
              <w:spacing w:line="340" w:lineRule="exact"/>
              <w:jc w:val="center"/>
              <w:rPr>
                <w:rFonts w:hint="default" w:ascii="宋体" w:hAnsi="宋体" w:eastAsia="宋体"/>
                <w:color w:val="000000"/>
                <w:szCs w:val="21"/>
                <w:lang w:val="en-US" w:eastAsia="zh-CN"/>
              </w:rPr>
            </w:pPr>
            <w:r>
              <w:rPr>
                <w:rFonts w:hint="eastAsia" w:ascii="宋体" w:hAnsi="宋体"/>
                <w:color w:val="FF0000"/>
                <w:szCs w:val="21"/>
                <w:lang w:val="en-US" w:eastAsia="zh-CN"/>
              </w:rPr>
              <w:t>15.8</w:t>
            </w:r>
          </w:p>
        </w:tc>
        <w:tc>
          <w:tcPr>
            <w:tcW w:w="1275" w:type="dxa"/>
            <w:vAlign w:val="center"/>
          </w:tcPr>
          <w:p w14:paraId="423263E6">
            <w:pPr>
              <w:spacing w:line="340" w:lineRule="exact"/>
              <w:jc w:val="center"/>
              <w:rPr>
                <w:rFonts w:ascii="宋体" w:hAnsi="宋体"/>
                <w:color w:val="000000"/>
                <w:szCs w:val="21"/>
              </w:rPr>
            </w:pPr>
            <w:r>
              <w:rPr>
                <w:rFonts w:hint="eastAsia" w:ascii="宋体" w:hAnsi="宋体"/>
                <w:color w:val="000000"/>
                <w:szCs w:val="21"/>
              </w:rPr>
              <w:t>符合</w:t>
            </w:r>
          </w:p>
        </w:tc>
      </w:tr>
      <w:tr w14:paraId="7566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221D0BD8">
            <w:pPr>
              <w:spacing w:line="340" w:lineRule="exact"/>
              <w:rPr>
                <w:rFonts w:ascii="宋体" w:hAnsi="宋体"/>
                <w:color w:val="000000"/>
                <w:szCs w:val="21"/>
              </w:rPr>
            </w:pPr>
            <w:r>
              <w:rPr>
                <w:rFonts w:hint="eastAsia" w:ascii="宋体" w:hAnsi="宋体"/>
                <w:color w:val="000000"/>
                <w:szCs w:val="21"/>
              </w:rPr>
              <w:t>3</w:t>
            </w:r>
          </w:p>
        </w:tc>
        <w:tc>
          <w:tcPr>
            <w:tcW w:w="3927" w:type="dxa"/>
            <w:vAlign w:val="center"/>
          </w:tcPr>
          <w:p w14:paraId="62CCFE1D">
            <w:pPr>
              <w:spacing w:line="340" w:lineRule="exact"/>
              <w:rPr>
                <w:rFonts w:ascii="宋体" w:hAnsi="宋体"/>
                <w:color w:val="000000"/>
                <w:szCs w:val="21"/>
              </w:rPr>
            </w:pPr>
            <w:r>
              <w:rPr>
                <w:rFonts w:hint="eastAsia" w:ascii="宋体" w:hAnsi="宋体"/>
                <w:color w:val="000000"/>
                <w:szCs w:val="21"/>
              </w:rPr>
              <w:t>柴油罐与站房</w:t>
            </w:r>
          </w:p>
        </w:tc>
        <w:tc>
          <w:tcPr>
            <w:tcW w:w="1071" w:type="dxa"/>
            <w:vAlign w:val="center"/>
          </w:tcPr>
          <w:p w14:paraId="463F8CD4">
            <w:pPr>
              <w:spacing w:line="340" w:lineRule="exact"/>
              <w:jc w:val="center"/>
              <w:rPr>
                <w:rFonts w:ascii="宋体" w:hAnsi="宋体"/>
                <w:color w:val="000000"/>
                <w:szCs w:val="21"/>
              </w:rPr>
            </w:pPr>
            <w:r>
              <w:rPr>
                <w:rFonts w:hint="eastAsia" w:ascii="宋体" w:hAnsi="宋体"/>
                <w:color w:val="000000"/>
                <w:szCs w:val="21"/>
              </w:rPr>
              <w:t>3</w:t>
            </w:r>
          </w:p>
        </w:tc>
        <w:tc>
          <w:tcPr>
            <w:tcW w:w="1478" w:type="dxa"/>
            <w:vAlign w:val="center"/>
          </w:tcPr>
          <w:p w14:paraId="73D78011">
            <w:pPr>
              <w:spacing w:line="340" w:lineRule="exact"/>
              <w:jc w:val="center"/>
              <w:rPr>
                <w:rFonts w:ascii="宋体" w:hAnsi="宋体"/>
                <w:color w:val="000000"/>
                <w:szCs w:val="21"/>
              </w:rPr>
            </w:pPr>
            <w:r>
              <w:rPr>
                <w:rFonts w:hint="eastAsia" w:ascii="宋体" w:hAnsi="宋体"/>
                <w:szCs w:val="21"/>
                <w:lang w:val="en-US" w:eastAsia="zh-CN"/>
              </w:rPr>
              <w:t>20.4</w:t>
            </w:r>
          </w:p>
        </w:tc>
        <w:tc>
          <w:tcPr>
            <w:tcW w:w="1275" w:type="dxa"/>
            <w:vAlign w:val="center"/>
          </w:tcPr>
          <w:p w14:paraId="748FCB18">
            <w:pPr>
              <w:spacing w:line="340" w:lineRule="exact"/>
              <w:jc w:val="center"/>
              <w:rPr>
                <w:rFonts w:ascii="宋体" w:hAnsi="宋体"/>
                <w:color w:val="000000"/>
                <w:szCs w:val="21"/>
              </w:rPr>
            </w:pPr>
            <w:r>
              <w:rPr>
                <w:rFonts w:hint="eastAsia" w:ascii="宋体" w:hAnsi="宋体"/>
                <w:color w:val="000000"/>
                <w:szCs w:val="21"/>
              </w:rPr>
              <w:t>符合</w:t>
            </w:r>
          </w:p>
        </w:tc>
      </w:tr>
      <w:tr w14:paraId="60BA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61FB151F">
            <w:pPr>
              <w:spacing w:line="340" w:lineRule="exact"/>
              <w:rPr>
                <w:rFonts w:ascii="宋体" w:hAnsi="宋体"/>
                <w:color w:val="000000"/>
                <w:szCs w:val="21"/>
              </w:rPr>
            </w:pPr>
            <w:r>
              <w:rPr>
                <w:rFonts w:hint="eastAsia" w:ascii="宋体" w:hAnsi="宋体"/>
                <w:color w:val="000000"/>
                <w:szCs w:val="21"/>
              </w:rPr>
              <w:t>4</w:t>
            </w:r>
          </w:p>
        </w:tc>
        <w:tc>
          <w:tcPr>
            <w:tcW w:w="3927" w:type="dxa"/>
            <w:vAlign w:val="center"/>
          </w:tcPr>
          <w:p w14:paraId="688E44D4">
            <w:pPr>
              <w:spacing w:line="340" w:lineRule="exact"/>
              <w:rPr>
                <w:rFonts w:ascii="宋体" w:hAnsi="宋体"/>
                <w:color w:val="000000"/>
                <w:szCs w:val="21"/>
              </w:rPr>
            </w:pPr>
            <w:r>
              <w:rPr>
                <w:rFonts w:hint="eastAsia" w:ascii="宋体" w:hAnsi="宋体"/>
                <w:color w:val="000000"/>
                <w:szCs w:val="21"/>
              </w:rPr>
              <w:t>汽油罐与自用燃煤锅炉房和燃煤厨房</w:t>
            </w:r>
          </w:p>
        </w:tc>
        <w:tc>
          <w:tcPr>
            <w:tcW w:w="1071" w:type="dxa"/>
            <w:vAlign w:val="center"/>
          </w:tcPr>
          <w:p w14:paraId="599BC62D">
            <w:pPr>
              <w:spacing w:line="340" w:lineRule="exact"/>
              <w:jc w:val="center"/>
              <w:rPr>
                <w:rFonts w:ascii="宋体" w:hAnsi="宋体"/>
                <w:color w:val="000000"/>
                <w:szCs w:val="21"/>
              </w:rPr>
            </w:pPr>
            <w:r>
              <w:rPr>
                <w:rFonts w:hint="eastAsia" w:ascii="宋体" w:hAnsi="宋体"/>
                <w:color w:val="000000"/>
                <w:szCs w:val="21"/>
              </w:rPr>
              <w:t>12.5</w:t>
            </w:r>
          </w:p>
        </w:tc>
        <w:tc>
          <w:tcPr>
            <w:tcW w:w="1478" w:type="dxa"/>
            <w:vAlign w:val="center"/>
          </w:tcPr>
          <w:p w14:paraId="41ABDB4C">
            <w:pPr>
              <w:spacing w:line="340" w:lineRule="exact"/>
              <w:jc w:val="center"/>
              <w:rPr>
                <w:rFonts w:ascii="宋体" w:hAnsi="宋体"/>
                <w:color w:val="000000"/>
                <w:szCs w:val="21"/>
              </w:rPr>
            </w:pPr>
            <w:r>
              <w:rPr>
                <w:rFonts w:hint="eastAsia" w:ascii="宋体" w:hAnsi="宋体"/>
                <w:szCs w:val="21"/>
              </w:rPr>
              <w:t>无此类设施</w:t>
            </w:r>
          </w:p>
        </w:tc>
        <w:tc>
          <w:tcPr>
            <w:tcW w:w="1275" w:type="dxa"/>
            <w:vAlign w:val="center"/>
          </w:tcPr>
          <w:p w14:paraId="68E5F617">
            <w:pPr>
              <w:spacing w:line="340" w:lineRule="exact"/>
              <w:jc w:val="center"/>
              <w:rPr>
                <w:rFonts w:ascii="宋体" w:hAnsi="宋体"/>
                <w:color w:val="000000"/>
                <w:szCs w:val="21"/>
              </w:rPr>
            </w:pPr>
            <w:r>
              <w:rPr>
                <w:rFonts w:hint="eastAsia" w:ascii="宋体" w:hAnsi="宋体"/>
                <w:color w:val="000000"/>
                <w:szCs w:val="21"/>
              </w:rPr>
              <w:t>符合</w:t>
            </w:r>
          </w:p>
        </w:tc>
      </w:tr>
      <w:tr w14:paraId="1E28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4FFA4CD2">
            <w:pPr>
              <w:spacing w:line="340" w:lineRule="exact"/>
              <w:rPr>
                <w:rFonts w:ascii="宋体" w:hAnsi="宋体"/>
                <w:color w:val="000000"/>
                <w:szCs w:val="21"/>
              </w:rPr>
            </w:pPr>
            <w:r>
              <w:rPr>
                <w:rFonts w:hint="eastAsia" w:ascii="宋体" w:hAnsi="宋体"/>
                <w:color w:val="000000"/>
                <w:szCs w:val="21"/>
              </w:rPr>
              <w:t>5</w:t>
            </w:r>
          </w:p>
        </w:tc>
        <w:tc>
          <w:tcPr>
            <w:tcW w:w="3927" w:type="dxa"/>
            <w:vAlign w:val="center"/>
          </w:tcPr>
          <w:p w14:paraId="76790372">
            <w:pPr>
              <w:spacing w:line="340" w:lineRule="exact"/>
              <w:rPr>
                <w:rFonts w:ascii="宋体" w:hAnsi="宋体"/>
                <w:color w:val="000000"/>
                <w:szCs w:val="21"/>
              </w:rPr>
            </w:pPr>
            <w:r>
              <w:rPr>
                <w:rFonts w:hint="eastAsia" w:ascii="宋体" w:hAnsi="宋体"/>
                <w:color w:val="000000"/>
                <w:szCs w:val="21"/>
              </w:rPr>
              <w:t>柴油罐与自用燃煤锅炉房和燃煤厨房</w:t>
            </w:r>
          </w:p>
        </w:tc>
        <w:tc>
          <w:tcPr>
            <w:tcW w:w="1071" w:type="dxa"/>
            <w:vAlign w:val="center"/>
          </w:tcPr>
          <w:p w14:paraId="6C1C3417">
            <w:pPr>
              <w:spacing w:line="340" w:lineRule="exact"/>
              <w:jc w:val="center"/>
              <w:rPr>
                <w:rFonts w:ascii="宋体" w:hAnsi="宋体"/>
                <w:color w:val="000000"/>
                <w:szCs w:val="21"/>
              </w:rPr>
            </w:pPr>
            <w:r>
              <w:rPr>
                <w:rFonts w:hint="eastAsia" w:ascii="宋体" w:hAnsi="宋体"/>
                <w:color w:val="000000"/>
                <w:szCs w:val="21"/>
              </w:rPr>
              <w:t>10</w:t>
            </w:r>
          </w:p>
        </w:tc>
        <w:tc>
          <w:tcPr>
            <w:tcW w:w="1478" w:type="dxa"/>
            <w:vAlign w:val="center"/>
          </w:tcPr>
          <w:p w14:paraId="5A0CD7C0">
            <w:pPr>
              <w:spacing w:line="340" w:lineRule="exact"/>
              <w:jc w:val="center"/>
              <w:rPr>
                <w:rFonts w:ascii="宋体" w:hAnsi="宋体"/>
                <w:color w:val="000000"/>
                <w:szCs w:val="21"/>
              </w:rPr>
            </w:pPr>
            <w:r>
              <w:rPr>
                <w:rFonts w:hint="eastAsia" w:ascii="宋体" w:hAnsi="宋体"/>
                <w:szCs w:val="21"/>
              </w:rPr>
              <w:t>无此类设施</w:t>
            </w:r>
          </w:p>
        </w:tc>
        <w:tc>
          <w:tcPr>
            <w:tcW w:w="1275" w:type="dxa"/>
            <w:vAlign w:val="center"/>
          </w:tcPr>
          <w:p w14:paraId="16052032">
            <w:pPr>
              <w:spacing w:line="340" w:lineRule="exact"/>
              <w:jc w:val="center"/>
              <w:rPr>
                <w:rFonts w:ascii="宋体" w:hAnsi="宋体"/>
                <w:color w:val="000000"/>
                <w:szCs w:val="21"/>
              </w:rPr>
            </w:pPr>
            <w:r>
              <w:rPr>
                <w:rFonts w:hint="eastAsia" w:ascii="宋体" w:hAnsi="宋体"/>
                <w:color w:val="000000"/>
                <w:szCs w:val="21"/>
              </w:rPr>
              <w:t>符合</w:t>
            </w:r>
          </w:p>
        </w:tc>
      </w:tr>
      <w:tr w14:paraId="7545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40F0EE76">
            <w:pPr>
              <w:spacing w:line="340" w:lineRule="exact"/>
              <w:rPr>
                <w:rFonts w:ascii="宋体" w:hAnsi="宋体"/>
                <w:color w:val="000000"/>
                <w:szCs w:val="21"/>
              </w:rPr>
            </w:pPr>
            <w:r>
              <w:rPr>
                <w:rFonts w:hint="eastAsia" w:ascii="宋体" w:hAnsi="宋体"/>
                <w:color w:val="000000"/>
                <w:szCs w:val="21"/>
              </w:rPr>
              <w:t>6</w:t>
            </w:r>
          </w:p>
        </w:tc>
        <w:tc>
          <w:tcPr>
            <w:tcW w:w="3927" w:type="dxa"/>
            <w:vAlign w:val="center"/>
          </w:tcPr>
          <w:p w14:paraId="5523AB4D">
            <w:pPr>
              <w:spacing w:line="340" w:lineRule="exact"/>
              <w:rPr>
                <w:rFonts w:ascii="宋体" w:hAnsi="宋体"/>
                <w:color w:val="000000"/>
                <w:szCs w:val="21"/>
              </w:rPr>
            </w:pPr>
            <w:r>
              <w:rPr>
                <w:rFonts w:hint="eastAsia" w:ascii="宋体" w:hAnsi="宋体"/>
                <w:color w:val="000000"/>
                <w:szCs w:val="21"/>
              </w:rPr>
              <w:t>汽油罐与自用有燃气（油）设备的房间</w:t>
            </w:r>
          </w:p>
        </w:tc>
        <w:tc>
          <w:tcPr>
            <w:tcW w:w="1071" w:type="dxa"/>
            <w:vAlign w:val="center"/>
          </w:tcPr>
          <w:p w14:paraId="06630254">
            <w:pPr>
              <w:spacing w:line="340" w:lineRule="exact"/>
              <w:jc w:val="center"/>
              <w:rPr>
                <w:rFonts w:ascii="宋体" w:hAnsi="宋体"/>
                <w:color w:val="000000"/>
                <w:szCs w:val="21"/>
              </w:rPr>
            </w:pPr>
            <w:r>
              <w:rPr>
                <w:rFonts w:hint="eastAsia" w:ascii="宋体" w:hAnsi="宋体"/>
                <w:color w:val="000000"/>
                <w:szCs w:val="21"/>
              </w:rPr>
              <w:t>8</w:t>
            </w:r>
          </w:p>
        </w:tc>
        <w:tc>
          <w:tcPr>
            <w:tcW w:w="1478" w:type="dxa"/>
            <w:vAlign w:val="center"/>
          </w:tcPr>
          <w:p w14:paraId="66394E85">
            <w:pPr>
              <w:spacing w:line="340" w:lineRule="exact"/>
              <w:jc w:val="center"/>
              <w:rPr>
                <w:rFonts w:ascii="宋体" w:hAnsi="宋体"/>
                <w:szCs w:val="21"/>
              </w:rPr>
            </w:pPr>
            <w:r>
              <w:rPr>
                <w:rFonts w:hint="eastAsia" w:ascii="宋体" w:hAnsi="宋体"/>
                <w:szCs w:val="21"/>
              </w:rPr>
              <w:t>无此类设施</w:t>
            </w:r>
          </w:p>
        </w:tc>
        <w:tc>
          <w:tcPr>
            <w:tcW w:w="1275" w:type="dxa"/>
          </w:tcPr>
          <w:p w14:paraId="1E126906">
            <w:pPr>
              <w:spacing w:line="340" w:lineRule="exact"/>
              <w:jc w:val="center"/>
              <w:rPr>
                <w:rFonts w:ascii="宋体" w:hAnsi="宋体"/>
                <w:szCs w:val="21"/>
              </w:rPr>
            </w:pPr>
            <w:r>
              <w:rPr>
                <w:rFonts w:hint="eastAsia" w:ascii="宋体" w:hAnsi="宋体"/>
                <w:color w:val="000000"/>
                <w:szCs w:val="21"/>
              </w:rPr>
              <w:t>符合</w:t>
            </w:r>
          </w:p>
        </w:tc>
      </w:tr>
      <w:tr w14:paraId="6A79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6B6C1CD2">
            <w:pPr>
              <w:spacing w:line="340" w:lineRule="exact"/>
              <w:rPr>
                <w:rFonts w:ascii="宋体" w:hAnsi="宋体"/>
                <w:color w:val="000000"/>
                <w:szCs w:val="21"/>
              </w:rPr>
            </w:pPr>
            <w:r>
              <w:rPr>
                <w:rFonts w:hint="eastAsia" w:ascii="宋体" w:hAnsi="宋体"/>
                <w:color w:val="000000"/>
                <w:szCs w:val="21"/>
              </w:rPr>
              <w:t>7</w:t>
            </w:r>
          </w:p>
        </w:tc>
        <w:tc>
          <w:tcPr>
            <w:tcW w:w="3927" w:type="dxa"/>
            <w:vAlign w:val="center"/>
          </w:tcPr>
          <w:p w14:paraId="7BBF7363">
            <w:pPr>
              <w:spacing w:line="340" w:lineRule="exact"/>
              <w:rPr>
                <w:rFonts w:ascii="宋体" w:hAnsi="宋体"/>
                <w:color w:val="000000"/>
                <w:szCs w:val="21"/>
              </w:rPr>
            </w:pPr>
            <w:r>
              <w:rPr>
                <w:rFonts w:hint="eastAsia" w:ascii="宋体" w:hAnsi="宋体"/>
                <w:color w:val="000000"/>
                <w:szCs w:val="21"/>
              </w:rPr>
              <w:t>柴油罐与自用有燃气（油）设备的房间</w:t>
            </w:r>
          </w:p>
        </w:tc>
        <w:tc>
          <w:tcPr>
            <w:tcW w:w="1071" w:type="dxa"/>
            <w:vAlign w:val="center"/>
          </w:tcPr>
          <w:p w14:paraId="684DE118">
            <w:pPr>
              <w:spacing w:line="340" w:lineRule="exact"/>
              <w:jc w:val="center"/>
              <w:rPr>
                <w:rFonts w:ascii="宋体" w:hAnsi="宋体"/>
                <w:color w:val="000000"/>
                <w:szCs w:val="21"/>
              </w:rPr>
            </w:pPr>
            <w:r>
              <w:rPr>
                <w:rFonts w:hint="eastAsia" w:ascii="宋体" w:hAnsi="宋体"/>
                <w:color w:val="000000"/>
                <w:szCs w:val="21"/>
              </w:rPr>
              <w:t>6</w:t>
            </w:r>
          </w:p>
        </w:tc>
        <w:tc>
          <w:tcPr>
            <w:tcW w:w="1478" w:type="dxa"/>
            <w:vAlign w:val="center"/>
          </w:tcPr>
          <w:p w14:paraId="2DBC5B96">
            <w:pPr>
              <w:spacing w:line="340" w:lineRule="exact"/>
              <w:jc w:val="center"/>
              <w:rPr>
                <w:rFonts w:ascii="宋体" w:hAnsi="宋体"/>
                <w:szCs w:val="21"/>
              </w:rPr>
            </w:pPr>
            <w:r>
              <w:rPr>
                <w:rFonts w:hint="eastAsia" w:ascii="宋体" w:hAnsi="宋体"/>
                <w:szCs w:val="21"/>
              </w:rPr>
              <w:t>无此类设施</w:t>
            </w:r>
          </w:p>
        </w:tc>
        <w:tc>
          <w:tcPr>
            <w:tcW w:w="1275" w:type="dxa"/>
          </w:tcPr>
          <w:p w14:paraId="28CBCF08">
            <w:pPr>
              <w:spacing w:line="340" w:lineRule="exact"/>
              <w:jc w:val="center"/>
              <w:rPr>
                <w:rFonts w:ascii="宋体" w:hAnsi="宋体"/>
                <w:szCs w:val="21"/>
              </w:rPr>
            </w:pPr>
            <w:r>
              <w:rPr>
                <w:rFonts w:hint="eastAsia" w:ascii="宋体" w:hAnsi="宋体"/>
                <w:color w:val="000000"/>
                <w:szCs w:val="21"/>
              </w:rPr>
              <w:t>符合</w:t>
            </w:r>
          </w:p>
        </w:tc>
      </w:tr>
      <w:tr w14:paraId="38D1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3CB1D6AC">
            <w:pPr>
              <w:spacing w:line="340" w:lineRule="exact"/>
              <w:rPr>
                <w:rFonts w:ascii="宋体" w:hAnsi="宋体"/>
                <w:color w:val="000000"/>
                <w:szCs w:val="21"/>
              </w:rPr>
            </w:pPr>
            <w:r>
              <w:rPr>
                <w:rFonts w:hint="eastAsia" w:ascii="宋体" w:hAnsi="宋体"/>
                <w:color w:val="000000"/>
                <w:szCs w:val="21"/>
              </w:rPr>
              <w:t>8</w:t>
            </w:r>
          </w:p>
        </w:tc>
        <w:tc>
          <w:tcPr>
            <w:tcW w:w="3927" w:type="dxa"/>
            <w:vAlign w:val="center"/>
          </w:tcPr>
          <w:p w14:paraId="2CCCC693">
            <w:pPr>
              <w:spacing w:line="340" w:lineRule="exact"/>
              <w:rPr>
                <w:rFonts w:ascii="宋体" w:hAnsi="宋体"/>
                <w:color w:val="000000"/>
                <w:szCs w:val="21"/>
              </w:rPr>
            </w:pPr>
            <w:r>
              <w:rPr>
                <w:rFonts w:hint="eastAsia" w:ascii="宋体" w:hAnsi="宋体"/>
                <w:color w:val="000000"/>
                <w:szCs w:val="21"/>
              </w:rPr>
              <w:t>汽油罐与站区围墙</w:t>
            </w:r>
          </w:p>
        </w:tc>
        <w:tc>
          <w:tcPr>
            <w:tcW w:w="1071" w:type="dxa"/>
            <w:vAlign w:val="center"/>
          </w:tcPr>
          <w:p w14:paraId="147E5DF1">
            <w:pPr>
              <w:spacing w:line="340" w:lineRule="exact"/>
              <w:jc w:val="center"/>
              <w:rPr>
                <w:rFonts w:ascii="宋体" w:hAnsi="宋体"/>
                <w:color w:val="000000"/>
                <w:szCs w:val="21"/>
              </w:rPr>
            </w:pPr>
            <w:r>
              <w:rPr>
                <w:rFonts w:hint="eastAsia" w:ascii="宋体" w:hAnsi="宋体"/>
                <w:color w:val="000000"/>
                <w:szCs w:val="21"/>
              </w:rPr>
              <w:t>2</w:t>
            </w:r>
          </w:p>
        </w:tc>
        <w:tc>
          <w:tcPr>
            <w:tcW w:w="1478" w:type="dxa"/>
            <w:vAlign w:val="center"/>
          </w:tcPr>
          <w:p w14:paraId="217D2F24">
            <w:pPr>
              <w:spacing w:line="340" w:lineRule="exact"/>
              <w:jc w:val="center"/>
              <w:rPr>
                <w:rFonts w:ascii="宋体" w:hAnsi="宋体"/>
                <w:szCs w:val="21"/>
              </w:rPr>
            </w:pPr>
            <w:r>
              <w:rPr>
                <w:rFonts w:hint="eastAsia" w:ascii="宋体" w:hAnsi="宋体"/>
                <w:szCs w:val="21"/>
              </w:rPr>
              <w:t>无此类设施</w:t>
            </w:r>
          </w:p>
        </w:tc>
        <w:tc>
          <w:tcPr>
            <w:tcW w:w="1275" w:type="dxa"/>
            <w:vAlign w:val="center"/>
          </w:tcPr>
          <w:p w14:paraId="733979D2">
            <w:pPr>
              <w:spacing w:line="340" w:lineRule="exact"/>
              <w:jc w:val="center"/>
              <w:rPr>
                <w:rFonts w:ascii="宋体" w:hAnsi="宋体"/>
                <w:szCs w:val="21"/>
              </w:rPr>
            </w:pPr>
            <w:r>
              <w:rPr>
                <w:rFonts w:hint="eastAsia" w:ascii="宋体" w:hAnsi="宋体"/>
                <w:color w:val="000000"/>
                <w:szCs w:val="21"/>
              </w:rPr>
              <w:t>符合</w:t>
            </w:r>
          </w:p>
        </w:tc>
      </w:tr>
      <w:tr w14:paraId="0CB5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4C900B6C">
            <w:pPr>
              <w:spacing w:line="340" w:lineRule="exact"/>
              <w:rPr>
                <w:rFonts w:ascii="宋体" w:hAnsi="宋体"/>
                <w:color w:val="000000"/>
                <w:szCs w:val="21"/>
              </w:rPr>
            </w:pPr>
            <w:r>
              <w:rPr>
                <w:rFonts w:hint="eastAsia" w:ascii="宋体" w:hAnsi="宋体"/>
                <w:color w:val="000000"/>
                <w:szCs w:val="21"/>
              </w:rPr>
              <w:t>9</w:t>
            </w:r>
          </w:p>
        </w:tc>
        <w:tc>
          <w:tcPr>
            <w:tcW w:w="3927" w:type="dxa"/>
            <w:vAlign w:val="center"/>
          </w:tcPr>
          <w:p w14:paraId="09802366">
            <w:pPr>
              <w:spacing w:line="340" w:lineRule="exact"/>
              <w:rPr>
                <w:rFonts w:ascii="宋体" w:hAnsi="宋体"/>
                <w:color w:val="000000"/>
                <w:szCs w:val="21"/>
              </w:rPr>
            </w:pPr>
            <w:r>
              <w:rPr>
                <w:rFonts w:hint="eastAsia" w:ascii="宋体" w:hAnsi="宋体"/>
                <w:color w:val="000000"/>
                <w:szCs w:val="21"/>
              </w:rPr>
              <w:t>柴油罐与站区围墙</w:t>
            </w:r>
          </w:p>
        </w:tc>
        <w:tc>
          <w:tcPr>
            <w:tcW w:w="1071" w:type="dxa"/>
            <w:vAlign w:val="center"/>
          </w:tcPr>
          <w:p w14:paraId="186C1ED4">
            <w:pPr>
              <w:spacing w:line="340" w:lineRule="exact"/>
              <w:jc w:val="center"/>
              <w:rPr>
                <w:rFonts w:ascii="宋体" w:hAnsi="宋体"/>
                <w:color w:val="000000"/>
                <w:szCs w:val="21"/>
              </w:rPr>
            </w:pPr>
            <w:r>
              <w:rPr>
                <w:rFonts w:hint="eastAsia" w:ascii="宋体" w:hAnsi="宋体"/>
                <w:color w:val="000000"/>
                <w:szCs w:val="21"/>
              </w:rPr>
              <w:t>2</w:t>
            </w:r>
          </w:p>
        </w:tc>
        <w:tc>
          <w:tcPr>
            <w:tcW w:w="1478" w:type="dxa"/>
            <w:vAlign w:val="center"/>
          </w:tcPr>
          <w:p w14:paraId="150CBFA0">
            <w:pPr>
              <w:spacing w:line="340" w:lineRule="exact"/>
              <w:jc w:val="center"/>
              <w:rPr>
                <w:rFonts w:ascii="宋体" w:hAnsi="宋体"/>
                <w:szCs w:val="21"/>
              </w:rPr>
            </w:pPr>
            <w:r>
              <w:rPr>
                <w:rFonts w:hint="eastAsia" w:ascii="宋体" w:hAnsi="宋体"/>
                <w:szCs w:val="21"/>
              </w:rPr>
              <w:t>无此类设施</w:t>
            </w:r>
          </w:p>
        </w:tc>
        <w:tc>
          <w:tcPr>
            <w:tcW w:w="1275" w:type="dxa"/>
            <w:vAlign w:val="center"/>
          </w:tcPr>
          <w:p w14:paraId="0E4C4280">
            <w:pPr>
              <w:spacing w:line="340" w:lineRule="exact"/>
              <w:jc w:val="center"/>
              <w:rPr>
                <w:rFonts w:ascii="宋体" w:hAnsi="宋体"/>
                <w:szCs w:val="21"/>
              </w:rPr>
            </w:pPr>
            <w:r>
              <w:rPr>
                <w:rFonts w:hint="eastAsia" w:ascii="宋体" w:hAnsi="宋体"/>
                <w:color w:val="000000"/>
                <w:szCs w:val="21"/>
              </w:rPr>
              <w:t>符合</w:t>
            </w:r>
          </w:p>
        </w:tc>
      </w:tr>
      <w:tr w14:paraId="6D99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69F24197">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0</w:t>
            </w:r>
          </w:p>
        </w:tc>
        <w:tc>
          <w:tcPr>
            <w:tcW w:w="3927" w:type="dxa"/>
            <w:vAlign w:val="center"/>
          </w:tcPr>
          <w:p w14:paraId="4E472F2C">
            <w:pPr>
              <w:spacing w:line="340" w:lineRule="exact"/>
              <w:rPr>
                <w:rFonts w:ascii="宋体" w:hAnsi="宋体"/>
                <w:color w:val="000000"/>
                <w:szCs w:val="21"/>
              </w:rPr>
            </w:pPr>
            <w:r>
              <w:rPr>
                <w:rFonts w:hint="eastAsia" w:ascii="宋体" w:hAnsi="宋体"/>
                <w:color w:val="000000"/>
                <w:szCs w:val="21"/>
              </w:rPr>
              <w:t>汽油通气管管口与油品卸车点</w:t>
            </w:r>
          </w:p>
        </w:tc>
        <w:tc>
          <w:tcPr>
            <w:tcW w:w="1071" w:type="dxa"/>
            <w:vAlign w:val="center"/>
          </w:tcPr>
          <w:p w14:paraId="4E5E39CB">
            <w:pPr>
              <w:spacing w:line="340" w:lineRule="exact"/>
              <w:jc w:val="center"/>
              <w:rPr>
                <w:rFonts w:ascii="宋体" w:hAnsi="宋体"/>
                <w:color w:val="000000"/>
                <w:szCs w:val="21"/>
              </w:rPr>
            </w:pPr>
            <w:r>
              <w:rPr>
                <w:rFonts w:hint="eastAsia" w:ascii="宋体" w:hAnsi="宋体"/>
                <w:color w:val="000000"/>
                <w:szCs w:val="21"/>
              </w:rPr>
              <w:t>3</w:t>
            </w:r>
          </w:p>
        </w:tc>
        <w:tc>
          <w:tcPr>
            <w:tcW w:w="1478" w:type="dxa"/>
            <w:vAlign w:val="center"/>
          </w:tcPr>
          <w:p w14:paraId="58306C2A">
            <w:pPr>
              <w:spacing w:line="340" w:lineRule="exact"/>
              <w:jc w:val="center"/>
              <w:rPr>
                <w:rFonts w:ascii="宋体" w:hAnsi="宋体"/>
                <w:szCs w:val="21"/>
              </w:rPr>
            </w:pPr>
            <w:r>
              <w:rPr>
                <w:rFonts w:hint="eastAsia" w:ascii="宋体" w:hAnsi="宋体"/>
                <w:szCs w:val="21"/>
                <w:lang w:val="en-US" w:eastAsia="zh-CN"/>
              </w:rPr>
              <w:t>10.1</w:t>
            </w:r>
          </w:p>
        </w:tc>
        <w:tc>
          <w:tcPr>
            <w:tcW w:w="1275" w:type="dxa"/>
            <w:vAlign w:val="center"/>
          </w:tcPr>
          <w:p w14:paraId="68D6F5A1">
            <w:pPr>
              <w:spacing w:line="340" w:lineRule="exact"/>
              <w:jc w:val="center"/>
              <w:rPr>
                <w:rFonts w:ascii="宋体" w:hAnsi="宋体"/>
                <w:szCs w:val="21"/>
              </w:rPr>
            </w:pPr>
            <w:r>
              <w:rPr>
                <w:rFonts w:hint="eastAsia" w:ascii="宋体" w:hAnsi="宋体"/>
                <w:color w:val="000000"/>
                <w:szCs w:val="21"/>
              </w:rPr>
              <w:t>符合</w:t>
            </w:r>
          </w:p>
        </w:tc>
      </w:tr>
      <w:tr w14:paraId="3CF9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78F5D996">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1</w:t>
            </w:r>
          </w:p>
        </w:tc>
        <w:tc>
          <w:tcPr>
            <w:tcW w:w="3927" w:type="dxa"/>
            <w:vAlign w:val="center"/>
          </w:tcPr>
          <w:p w14:paraId="0CE95433">
            <w:pPr>
              <w:spacing w:line="340" w:lineRule="exact"/>
              <w:rPr>
                <w:rFonts w:ascii="宋体" w:hAnsi="宋体"/>
                <w:color w:val="000000"/>
                <w:szCs w:val="21"/>
              </w:rPr>
            </w:pPr>
            <w:r>
              <w:rPr>
                <w:rFonts w:hint="eastAsia" w:ascii="宋体" w:hAnsi="宋体"/>
                <w:color w:val="000000"/>
                <w:szCs w:val="21"/>
              </w:rPr>
              <w:t>柴油通气管管口与油品卸车点</w:t>
            </w:r>
          </w:p>
        </w:tc>
        <w:tc>
          <w:tcPr>
            <w:tcW w:w="1071" w:type="dxa"/>
            <w:vAlign w:val="center"/>
          </w:tcPr>
          <w:p w14:paraId="38B13188">
            <w:pPr>
              <w:spacing w:line="340" w:lineRule="exact"/>
              <w:jc w:val="center"/>
              <w:rPr>
                <w:rFonts w:ascii="宋体" w:hAnsi="宋体"/>
                <w:color w:val="000000"/>
                <w:szCs w:val="21"/>
              </w:rPr>
            </w:pPr>
            <w:r>
              <w:rPr>
                <w:rFonts w:hint="eastAsia" w:ascii="宋体" w:hAnsi="宋体"/>
                <w:color w:val="000000"/>
                <w:szCs w:val="21"/>
              </w:rPr>
              <w:t>2</w:t>
            </w:r>
          </w:p>
        </w:tc>
        <w:tc>
          <w:tcPr>
            <w:tcW w:w="1478" w:type="dxa"/>
            <w:vAlign w:val="center"/>
          </w:tcPr>
          <w:p w14:paraId="4ACB984C">
            <w:pPr>
              <w:spacing w:line="340" w:lineRule="exact"/>
              <w:jc w:val="center"/>
              <w:rPr>
                <w:rFonts w:ascii="宋体" w:hAnsi="宋体"/>
                <w:szCs w:val="21"/>
              </w:rPr>
            </w:pPr>
            <w:r>
              <w:rPr>
                <w:rFonts w:hint="eastAsia" w:ascii="宋体" w:hAnsi="宋体"/>
                <w:szCs w:val="21"/>
                <w:lang w:val="en-US" w:eastAsia="zh-CN"/>
              </w:rPr>
              <w:t>9.8</w:t>
            </w:r>
          </w:p>
        </w:tc>
        <w:tc>
          <w:tcPr>
            <w:tcW w:w="1275" w:type="dxa"/>
            <w:vAlign w:val="center"/>
          </w:tcPr>
          <w:p w14:paraId="2FA30922">
            <w:pPr>
              <w:spacing w:line="340" w:lineRule="exact"/>
              <w:jc w:val="center"/>
              <w:rPr>
                <w:rFonts w:ascii="宋体" w:hAnsi="宋体"/>
                <w:szCs w:val="21"/>
              </w:rPr>
            </w:pPr>
            <w:r>
              <w:rPr>
                <w:rFonts w:hint="eastAsia" w:ascii="宋体" w:hAnsi="宋体"/>
                <w:color w:val="000000"/>
                <w:szCs w:val="21"/>
              </w:rPr>
              <w:t>符合</w:t>
            </w:r>
          </w:p>
        </w:tc>
      </w:tr>
      <w:tr w14:paraId="5BF7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7C6E8DB9">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2</w:t>
            </w:r>
          </w:p>
        </w:tc>
        <w:tc>
          <w:tcPr>
            <w:tcW w:w="3927" w:type="dxa"/>
            <w:vAlign w:val="center"/>
          </w:tcPr>
          <w:p w14:paraId="34EE8F26">
            <w:pPr>
              <w:spacing w:line="340" w:lineRule="exact"/>
              <w:rPr>
                <w:rFonts w:ascii="宋体" w:hAnsi="宋体"/>
                <w:color w:val="000000"/>
                <w:szCs w:val="21"/>
              </w:rPr>
            </w:pPr>
            <w:r>
              <w:rPr>
                <w:rFonts w:hint="eastAsia" w:ascii="宋体" w:hAnsi="宋体"/>
                <w:color w:val="000000"/>
                <w:szCs w:val="21"/>
              </w:rPr>
              <w:t>汽油通气管管口与站房</w:t>
            </w:r>
          </w:p>
        </w:tc>
        <w:tc>
          <w:tcPr>
            <w:tcW w:w="1071" w:type="dxa"/>
            <w:vAlign w:val="center"/>
          </w:tcPr>
          <w:p w14:paraId="285917B9">
            <w:pPr>
              <w:spacing w:line="340" w:lineRule="exact"/>
              <w:jc w:val="center"/>
              <w:rPr>
                <w:rFonts w:ascii="宋体" w:hAnsi="宋体"/>
                <w:color w:val="000000"/>
                <w:szCs w:val="21"/>
              </w:rPr>
            </w:pPr>
            <w:r>
              <w:rPr>
                <w:rFonts w:hint="eastAsia" w:ascii="宋体" w:hAnsi="宋体"/>
                <w:color w:val="000000"/>
                <w:szCs w:val="21"/>
              </w:rPr>
              <w:t>4</w:t>
            </w:r>
          </w:p>
        </w:tc>
        <w:tc>
          <w:tcPr>
            <w:tcW w:w="1478" w:type="dxa"/>
            <w:vAlign w:val="center"/>
          </w:tcPr>
          <w:p w14:paraId="7C4E272F">
            <w:pPr>
              <w:spacing w:line="340" w:lineRule="exact"/>
              <w:jc w:val="center"/>
              <w:rPr>
                <w:rFonts w:ascii="宋体" w:hAnsi="宋体"/>
                <w:szCs w:val="21"/>
              </w:rPr>
            </w:pPr>
            <w:r>
              <w:rPr>
                <w:rFonts w:hint="eastAsia" w:ascii="宋体" w:hAnsi="宋体"/>
                <w:szCs w:val="21"/>
                <w:lang w:val="en-US" w:eastAsia="zh-CN"/>
              </w:rPr>
              <w:t>19.6</w:t>
            </w:r>
          </w:p>
        </w:tc>
        <w:tc>
          <w:tcPr>
            <w:tcW w:w="1275" w:type="dxa"/>
            <w:vAlign w:val="center"/>
          </w:tcPr>
          <w:p w14:paraId="7633D5C7">
            <w:pPr>
              <w:spacing w:line="340" w:lineRule="exact"/>
              <w:jc w:val="center"/>
              <w:rPr>
                <w:rFonts w:ascii="宋体" w:hAnsi="宋体"/>
                <w:szCs w:val="21"/>
              </w:rPr>
            </w:pPr>
            <w:r>
              <w:rPr>
                <w:rFonts w:hint="eastAsia" w:ascii="宋体" w:hAnsi="宋体"/>
                <w:color w:val="000000"/>
                <w:szCs w:val="21"/>
              </w:rPr>
              <w:t>符合</w:t>
            </w:r>
          </w:p>
        </w:tc>
      </w:tr>
      <w:tr w14:paraId="5CB0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34E063E8">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3</w:t>
            </w:r>
          </w:p>
        </w:tc>
        <w:tc>
          <w:tcPr>
            <w:tcW w:w="3927" w:type="dxa"/>
            <w:vAlign w:val="center"/>
          </w:tcPr>
          <w:p w14:paraId="721FD474">
            <w:pPr>
              <w:spacing w:line="340" w:lineRule="exact"/>
              <w:rPr>
                <w:rFonts w:ascii="宋体" w:hAnsi="宋体"/>
                <w:color w:val="000000"/>
                <w:szCs w:val="21"/>
              </w:rPr>
            </w:pPr>
            <w:r>
              <w:rPr>
                <w:rFonts w:hint="eastAsia" w:ascii="宋体" w:hAnsi="宋体"/>
                <w:color w:val="000000"/>
                <w:szCs w:val="21"/>
              </w:rPr>
              <w:t>柴油通气管管口与站房</w:t>
            </w:r>
          </w:p>
        </w:tc>
        <w:tc>
          <w:tcPr>
            <w:tcW w:w="1071" w:type="dxa"/>
            <w:vAlign w:val="center"/>
          </w:tcPr>
          <w:p w14:paraId="0164C95E">
            <w:pPr>
              <w:spacing w:line="340" w:lineRule="exact"/>
              <w:jc w:val="center"/>
              <w:rPr>
                <w:rFonts w:ascii="宋体" w:hAnsi="宋体"/>
                <w:color w:val="000000"/>
                <w:szCs w:val="21"/>
              </w:rPr>
            </w:pPr>
            <w:r>
              <w:rPr>
                <w:rFonts w:hint="eastAsia" w:ascii="宋体" w:hAnsi="宋体"/>
                <w:color w:val="000000"/>
                <w:szCs w:val="21"/>
              </w:rPr>
              <w:t>3.5</w:t>
            </w:r>
          </w:p>
        </w:tc>
        <w:tc>
          <w:tcPr>
            <w:tcW w:w="1478" w:type="dxa"/>
            <w:vAlign w:val="center"/>
          </w:tcPr>
          <w:p w14:paraId="17945FC3">
            <w:pPr>
              <w:spacing w:line="340" w:lineRule="exact"/>
              <w:jc w:val="center"/>
              <w:rPr>
                <w:rFonts w:ascii="宋体" w:hAnsi="宋体"/>
                <w:szCs w:val="21"/>
              </w:rPr>
            </w:pPr>
            <w:r>
              <w:rPr>
                <w:rFonts w:hint="eastAsia" w:ascii="宋体" w:hAnsi="宋体"/>
                <w:szCs w:val="21"/>
                <w:lang w:val="en-US" w:eastAsia="zh-CN"/>
              </w:rPr>
              <w:t>19.9</w:t>
            </w:r>
          </w:p>
        </w:tc>
        <w:tc>
          <w:tcPr>
            <w:tcW w:w="1275" w:type="dxa"/>
            <w:vAlign w:val="center"/>
          </w:tcPr>
          <w:p w14:paraId="4CCBC0C4">
            <w:pPr>
              <w:spacing w:line="340" w:lineRule="exact"/>
              <w:jc w:val="center"/>
              <w:rPr>
                <w:rFonts w:ascii="宋体" w:hAnsi="宋体"/>
                <w:szCs w:val="21"/>
              </w:rPr>
            </w:pPr>
            <w:r>
              <w:rPr>
                <w:rFonts w:hint="eastAsia" w:ascii="宋体" w:hAnsi="宋体"/>
                <w:color w:val="000000"/>
                <w:szCs w:val="21"/>
              </w:rPr>
              <w:t>符合</w:t>
            </w:r>
          </w:p>
        </w:tc>
      </w:tr>
      <w:tr w14:paraId="080F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38007FDC">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4</w:t>
            </w:r>
          </w:p>
        </w:tc>
        <w:tc>
          <w:tcPr>
            <w:tcW w:w="3927" w:type="dxa"/>
            <w:vAlign w:val="center"/>
          </w:tcPr>
          <w:p w14:paraId="6621A013">
            <w:pPr>
              <w:spacing w:line="340" w:lineRule="exact"/>
              <w:rPr>
                <w:rFonts w:ascii="宋体" w:hAnsi="宋体"/>
                <w:color w:val="000000"/>
                <w:szCs w:val="21"/>
              </w:rPr>
            </w:pPr>
            <w:r>
              <w:rPr>
                <w:rFonts w:hint="eastAsia" w:ascii="宋体" w:hAnsi="宋体"/>
                <w:color w:val="000000"/>
                <w:szCs w:val="21"/>
              </w:rPr>
              <w:t>汽油通气管管口与自用有燃气（油）设备的房间</w:t>
            </w:r>
          </w:p>
        </w:tc>
        <w:tc>
          <w:tcPr>
            <w:tcW w:w="1071" w:type="dxa"/>
            <w:vAlign w:val="center"/>
          </w:tcPr>
          <w:p w14:paraId="26A4EEC5">
            <w:pPr>
              <w:spacing w:line="340" w:lineRule="exact"/>
              <w:jc w:val="center"/>
              <w:rPr>
                <w:rFonts w:ascii="宋体" w:hAnsi="宋体"/>
                <w:color w:val="000000"/>
                <w:szCs w:val="21"/>
              </w:rPr>
            </w:pPr>
            <w:r>
              <w:rPr>
                <w:rFonts w:hint="eastAsia" w:ascii="宋体" w:hAnsi="宋体"/>
                <w:color w:val="000000"/>
                <w:szCs w:val="21"/>
              </w:rPr>
              <w:t>8</w:t>
            </w:r>
          </w:p>
        </w:tc>
        <w:tc>
          <w:tcPr>
            <w:tcW w:w="1478" w:type="dxa"/>
            <w:vAlign w:val="center"/>
          </w:tcPr>
          <w:p w14:paraId="4F4E9230">
            <w:pPr>
              <w:spacing w:line="340" w:lineRule="exact"/>
              <w:jc w:val="center"/>
              <w:rPr>
                <w:rFonts w:ascii="宋体" w:hAnsi="宋体"/>
                <w:szCs w:val="21"/>
              </w:rPr>
            </w:pPr>
            <w:r>
              <w:rPr>
                <w:rFonts w:hint="eastAsia" w:ascii="宋体" w:hAnsi="宋体"/>
                <w:szCs w:val="21"/>
              </w:rPr>
              <w:t>无此类设施</w:t>
            </w:r>
          </w:p>
        </w:tc>
        <w:tc>
          <w:tcPr>
            <w:tcW w:w="1275" w:type="dxa"/>
            <w:vAlign w:val="center"/>
          </w:tcPr>
          <w:p w14:paraId="40A57278">
            <w:pPr>
              <w:spacing w:line="340" w:lineRule="exact"/>
              <w:jc w:val="center"/>
              <w:rPr>
                <w:rFonts w:ascii="宋体" w:hAnsi="宋体"/>
                <w:szCs w:val="21"/>
              </w:rPr>
            </w:pPr>
            <w:r>
              <w:rPr>
                <w:rFonts w:hint="eastAsia" w:ascii="宋体" w:hAnsi="宋体"/>
                <w:color w:val="000000"/>
                <w:szCs w:val="21"/>
              </w:rPr>
              <w:t>符合</w:t>
            </w:r>
          </w:p>
        </w:tc>
      </w:tr>
      <w:tr w14:paraId="021B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41708DB8">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5</w:t>
            </w:r>
          </w:p>
        </w:tc>
        <w:tc>
          <w:tcPr>
            <w:tcW w:w="3927" w:type="dxa"/>
            <w:vAlign w:val="center"/>
          </w:tcPr>
          <w:p w14:paraId="03414033">
            <w:pPr>
              <w:spacing w:line="340" w:lineRule="exact"/>
              <w:rPr>
                <w:rFonts w:ascii="宋体" w:hAnsi="宋体"/>
                <w:color w:val="000000"/>
                <w:szCs w:val="21"/>
              </w:rPr>
            </w:pPr>
            <w:r>
              <w:rPr>
                <w:rFonts w:hint="eastAsia" w:ascii="宋体" w:hAnsi="宋体"/>
                <w:color w:val="000000"/>
                <w:szCs w:val="21"/>
              </w:rPr>
              <w:t>柴油通气管管口与自用有燃气（油）设备的房间</w:t>
            </w:r>
          </w:p>
        </w:tc>
        <w:tc>
          <w:tcPr>
            <w:tcW w:w="1071" w:type="dxa"/>
            <w:vAlign w:val="center"/>
          </w:tcPr>
          <w:p w14:paraId="495319FA">
            <w:pPr>
              <w:spacing w:line="340" w:lineRule="exact"/>
              <w:jc w:val="center"/>
              <w:rPr>
                <w:rFonts w:ascii="宋体" w:hAnsi="宋体"/>
                <w:color w:val="000000"/>
                <w:szCs w:val="21"/>
              </w:rPr>
            </w:pPr>
            <w:r>
              <w:rPr>
                <w:rFonts w:hint="eastAsia" w:ascii="宋体" w:hAnsi="宋体"/>
                <w:color w:val="000000"/>
                <w:szCs w:val="21"/>
              </w:rPr>
              <w:t>6</w:t>
            </w:r>
          </w:p>
        </w:tc>
        <w:tc>
          <w:tcPr>
            <w:tcW w:w="1478" w:type="dxa"/>
            <w:vAlign w:val="center"/>
          </w:tcPr>
          <w:p w14:paraId="3028472D">
            <w:pPr>
              <w:spacing w:line="340" w:lineRule="exact"/>
              <w:jc w:val="center"/>
              <w:rPr>
                <w:rFonts w:ascii="宋体" w:hAnsi="宋体"/>
                <w:szCs w:val="21"/>
              </w:rPr>
            </w:pPr>
            <w:r>
              <w:rPr>
                <w:rFonts w:hint="eastAsia" w:ascii="宋体" w:hAnsi="宋体"/>
                <w:szCs w:val="21"/>
              </w:rPr>
              <w:t>无此类设施</w:t>
            </w:r>
          </w:p>
        </w:tc>
        <w:tc>
          <w:tcPr>
            <w:tcW w:w="1275" w:type="dxa"/>
            <w:vAlign w:val="center"/>
          </w:tcPr>
          <w:p w14:paraId="23090015">
            <w:pPr>
              <w:spacing w:line="340" w:lineRule="exact"/>
              <w:jc w:val="center"/>
              <w:rPr>
                <w:rFonts w:ascii="宋体" w:hAnsi="宋体"/>
                <w:szCs w:val="21"/>
              </w:rPr>
            </w:pPr>
            <w:r>
              <w:rPr>
                <w:rFonts w:hint="eastAsia" w:ascii="宋体" w:hAnsi="宋体"/>
                <w:color w:val="000000"/>
                <w:szCs w:val="21"/>
              </w:rPr>
              <w:t>符合</w:t>
            </w:r>
          </w:p>
        </w:tc>
      </w:tr>
      <w:tr w14:paraId="4EFF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0EFDD0AA">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6</w:t>
            </w:r>
          </w:p>
        </w:tc>
        <w:tc>
          <w:tcPr>
            <w:tcW w:w="3927" w:type="dxa"/>
            <w:vAlign w:val="center"/>
          </w:tcPr>
          <w:p w14:paraId="36045EF2">
            <w:pPr>
              <w:spacing w:line="340" w:lineRule="exact"/>
              <w:rPr>
                <w:rFonts w:ascii="宋体" w:hAnsi="宋体"/>
                <w:color w:val="000000"/>
                <w:szCs w:val="21"/>
              </w:rPr>
            </w:pPr>
            <w:r>
              <w:rPr>
                <w:rFonts w:hint="eastAsia" w:ascii="宋体" w:hAnsi="宋体"/>
                <w:color w:val="000000"/>
                <w:szCs w:val="21"/>
              </w:rPr>
              <w:t>汽油通气管管口与站区围墙</w:t>
            </w:r>
          </w:p>
        </w:tc>
        <w:tc>
          <w:tcPr>
            <w:tcW w:w="1071" w:type="dxa"/>
            <w:vAlign w:val="center"/>
          </w:tcPr>
          <w:p w14:paraId="651F746F">
            <w:pPr>
              <w:spacing w:line="340" w:lineRule="exact"/>
              <w:jc w:val="center"/>
              <w:rPr>
                <w:rFonts w:ascii="宋体" w:hAnsi="宋体"/>
                <w:color w:val="000000"/>
                <w:szCs w:val="21"/>
              </w:rPr>
            </w:pPr>
            <w:r>
              <w:rPr>
                <w:rFonts w:hint="eastAsia" w:ascii="宋体" w:hAnsi="宋体"/>
                <w:color w:val="000000"/>
                <w:szCs w:val="21"/>
              </w:rPr>
              <w:t>2</w:t>
            </w:r>
          </w:p>
        </w:tc>
        <w:tc>
          <w:tcPr>
            <w:tcW w:w="1478" w:type="dxa"/>
            <w:vAlign w:val="center"/>
          </w:tcPr>
          <w:p w14:paraId="0BA210DB">
            <w:pPr>
              <w:spacing w:line="340" w:lineRule="exact"/>
              <w:jc w:val="center"/>
              <w:rPr>
                <w:rFonts w:ascii="宋体" w:hAnsi="宋体"/>
                <w:color w:val="000000"/>
                <w:szCs w:val="21"/>
              </w:rPr>
            </w:pPr>
            <w:r>
              <w:rPr>
                <w:rFonts w:hint="eastAsia" w:ascii="宋体" w:hAnsi="宋体"/>
                <w:szCs w:val="21"/>
                <w:lang w:val="en-US" w:eastAsia="zh-CN"/>
              </w:rPr>
              <w:t>9</w:t>
            </w:r>
          </w:p>
        </w:tc>
        <w:tc>
          <w:tcPr>
            <w:tcW w:w="1275" w:type="dxa"/>
            <w:vAlign w:val="center"/>
          </w:tcPr>
          <w:p w14:paraId="63F177B4">
            <w:pPr>
              <w:spacing w:line="340" w:lineRule="exact"/>
              <w:jc w:val="center"/>
              <w:rPr>
                <w:rFonts w:ascii="宋体" w:hAnsi="宋体"/>
                <w:color w:val="000000"/>
                <w:szCs w:val="21"/>
              </w:rPr>
            </w:pPr>
            <w:r>
              <w:rPr>
                <w:rFonts w:hint="eastAsia" w:ascii="宋体" w:hAnsi="宋体"/>
                <w:color w:val="000000"/>
                <w:szCs w:val="21"/>
              </w:rPr>
              <w:t>符合</w:t>
            </w:r>
          </w:p>
        </w:tc>
      </w:tr>
      <w:tr w14:paraId="171B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434A535B">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3927" w:type="dxa"/>
            <w:vAlign w:val="center"/>
          </w:tcPr>
          <w:p w14:paraId="26076A2E">
            <w:pPr>
              <w:spacing w:line="340" w:lineRule="exact"/>
              <w:rPr>
                <w:rFonts w:ascii="宋体" w:hAnsi="宋体"/>
                <w:color w:val="000000"/>
                <w:szCs w:val="21"/>
              </w:rPr>
            </w:pPr>
            <w:r>
              <w:rPr>
                <w:rFonts w:hint="eastAsia" w:ascii="宋体" w:hAnsi="宋体"/>
                <w:color w:val="000000"/>
                <w:szCs w:val="21"/>
              </w:rPr>
              <w:t>柴油通气管管口与站区围墙</w:t>
            </w:r>
          </w:p>
        </w:tc>
        <w:tc>
          <w:tcPr>
            <w:tcW w:w="1071" w:type="dxa"/>
            <w:vAlign w:val="center"/>
          </w:tcPr>
          <w:p w14:paraId="5408E7B2">
            <w:pPr>
              <w:spacing w:line="340" w:lineRule="exact"/>
              <w:jc w:val="center"/>
              <w:rPr>
                <w:rFonts w:ascii="宋体" w:hAnsi="宋体"/>
                <w:color w:val="000000"/>
                <w:szCs w:val="21"/>
              </w:rPr>
            </w:pPr>
            <w:r>
              <w:rPr>
                <w:rFonts w:hint="eastAsia" w:ascii="宋体" w:hAnsi="宋体"/>
                <w:color w:val="000000"/>
                <w:szCs w:val="21"/>
              </w:rPr>
              <w:t>2</w:t>
            </w:r>
          </w:p>
        </w:tc>
        <w:tc>
          <w:tcPr>
            <w:tcW w:w="1478" w:type="dxa"/>
            <w:vAlign w:val="center"/>
          </w:tcPr>
          <w:p w14:paraId="12432C1B">
            <w:pPr>
              <w:spacing w:line="340" w:lineRule="exact"/>
              <w:jc w:val="center"/>
              <w:rPr>
                <w:rFonts w:ascii="宋体" w:hAnsi="宋体"/>
                <w:color w:val="000000"/>
                <w:szCs w:val="21"/>
              </w:rPr>
            </w:pPr>
            <w:r>
              <w:rPr>
                <w:rFonts w:hint="eastAsia" w:ascii="宋体" w:hAnsi="宋体"/>
                <w:color w:val="000000"/>
                <w:szCs w:val="21"/>
                <w:lang w:val="en-US" w:eastAsia="zh-CN"/>
              </w:rPr>
              <w:t>8.9</w:t>
            </w:r>
          </w:p>
        </w:tc>
        <w:tc>
          <w:tcPr>
            <w:tcW w:w="1275" w:type="dxa"/>
            <w:vAlign w:val="center"/>
          </w:tcPr>
          <w:p w14:paraId="6CFA48A7">
            <w:pPr>
              <w:spacing w:line="340" w:lineRule="exact"/>
              <w:jc w:val="center"/>
              <w:rPr>
                <w:rFonts w:ascii="宋体" w:hAnsi="宋体"/>
                <w:color w:val="000000"/>
                <w:szCs w:val="21"/>
              </w:rPr>
            </w:pPr>
            <w:r>
              <w:rPr>
                <w:rFonts w:hint="eastAsia" w:ascii="宋体" w:hAnsi="宋体"/>
                <w:color w:val="000000"/>
                <w:szCs w:val="21"/>
              </w:rPr>
              <w:t>符合</w:t>
            </w:r>
          </w:p>
        </w:tc>
      </w:tr>
      <w:tr w14:paraId="3770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483AE273">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8</w:t>
            </w:r>
          </w:p>
        </w:tc>
        <w:tc>
          <w:tcPr>
            <w:tcW w:w="3927" w:type="dxa"/>
            <w:vAlign w:val="center"/>
          </w:tcPr>
          <w:p w14:paraId="5C3A5044">
            <w:pPr>
              <w:spacing w:line="340" w:lineRule="exact"/>
              <w:rPr>
                <w:rFonts w:ascii="宋体" w:hAnsi="宋体"/>
                <w:color w:val="000000"/>
                <w:szCs w:val="21"/>
              </w:rPr>
            </w:pPr>
            <w:r>
              <w:rPr>
                <w:rFonts w:hint="eastAsia" w:ascii="宋体" w:hAnsi="宋体"/>
                <w:color w:val="000000"/>
                <w:szCs w:val="21"/>
              </w:rPr>
              <w:t>油品卸车点与站房</w:t>
            </w:r>
          </w:p>
        </w:tc>
        <w:tc>
          <w:tcPr>
            <w:tcW w:w="1071" w:type="dxa"/>
            <w:vAlign w:val="center"/>
          </w:tcPr>
          <w:p w14:paraId="28E8376E">
            <w:pPr>
              <w:spacing w:line="340" w:lineRule="exact"/>
              <w:jc w:val="center"/>
              <w:rPr>
                <w:rFonts w:ascii="宋体" w:hAnsi="宋体"/>
                <w:color w:val="000000"/>
                <w:szCs w:val="21"/>
              </w:rPr>
            </w:pPr>
            <w:r>
              <w:rPr>
                <w:rFonts w:hint="eastAsia" w:ascii="宋体" w:hAnsi="宋体"/>
                <w:color w:val="000000"/>
                <w:szCs w:val="21"/>
              </w:rPr>
              <w:t>5</w:t>
            </w:r>
          </w:p>
        </w:tc>
        <w:tc>
          <w:tcPr>
            <w:tcW w:w="1478" w:type="dxa"/>
            <w:vAlign w:val="center"/>
          </w:tcPr>
          <w:p w14:paraId="136769E3">
            <w:pPr>
              <w:spacing w:line="340" w:lineRule="exact"/>
              <w:jc w:val="center"/>
              <w:rPr>
                <w:rFonts w:ascii="宋体" w:hAnsi="宋体"/>
                <w:color w:val="000000"/>
                <w:szCs w:val="21"/>
              </w:rPr>
            </w:pPr>
            <w:r>
              <w:rPr>
                <w:rFonts w:hint="eastAsia" w:ascii="宋体" w:hAnsi="宋体"/>
                <w:szCs w:val="21"/>
                <w:lang w:val="en-US" w:eastAsia="zh-CN"/>
              </w:rPr>
              <w:t>30.2</w:t>
            </w:r>
          </w:p>
        </w:tc>
        <w:tc>
          <w:tcPr>
            <w:tcW w:w="1275" w:type="dxa"/>
            <w:vAlign w:val="center"/>
          </w:tcPr>
          <w:p w14:paraId="4BB2C214">
            <w:pPr>
              <w:spacing w:line="340" w:lineRule="exact"/>
              <w:jc w:val="center"/>
              <w:rPr>
                <w:rFonts w:ascii="宋体" w:hAnsi="宋体"/>
                <w:color w:val="000000"/>
                <w:szCs w:val="21"/>
              </w:rPr>
            </w:pPr>
            <w:r>
              <w:rPr>
                <w:rFonts w:hint="eastAsia" w:ascii="宋体" w:hAnsi="宋体"/>
                <w:color w:val="000000"/>
                <w:szCs w:val="21"/>
              </w:rPr>
              <w:t>符合</w:t>
            </w:r>
          </w:p>
        </w:tc>
      </w:tr>
      <w:tr w14:paraId="6959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7628DEC9">
            <w:pPr>
              <w:spacing w:line="340" w:lineRule="exact"/>
              <w:rPr>
                <w:rFonts w:ascii="宋体" w:hAnsi="宋体"/>
                <w:color w:val="000000"/>
                <w:szCs w:val="21"/>
              </w:rPr>
            </w:pPr>
            <w:r>
              <w:rPr>
                <w:rFonts w:hint="eastAsia" w:ascii="宋体" w:hAnsi="宋体"/>
                <w:color w:val="000000"/>
                <w:szCs w:val="21"/>
              </w:rPr>
              <w:t>1</w:t>
            </w:r>
            <w:r>
              <w:rPr>
                <w:rFonts w:ascii="宋体" w:hAnsi="宋体"/>
                <w:color w:val="000000"/>
                <w:szCs w:val="21"/>
              </w:rPr>
              <w:t>9</w:t>
            </w:r>
          </w:p>
        </w:tc>
        <w:tc>
          <w:tcPr>
            <w:tcW w:w="3927" w:type="dxa"/>
            <w:vAlign w:val="center"/>
          </w:tcPr>
          <w:p w14:paraId="56F41B46">
            <w:pPr>
              <w:spacing w:line="340" w:lineRule="exact"/>
              <w:rPr>
                <w:rFonts w:ascii="宋体" w:hAnsi="宋体"/>
                <w:color w:val="000000"/>
                <w:szCs w:val="21"/>
              </w:rPr>
            </w:pPr>
            <w:r>
              <w:rPr>
                <w:rFonts w:hint="eastAsia" w:ascii="宋体" w:hAnsi="宋体"/>
                <w:color w:val="000000"/>
                <w:szCs w:val="21"/>
              </w:rPr>
              <w:t>油品卸车点与自用有燃气（油）设备的房间</w:t>
            </w:r>
          </w:p>
        </w:tc>
        <w:tc>
          <w:tcPr>
            <w:tcW w:w="1071" w:type="dxa"/>
            <w:vAlign w:val="center"/>
          </w:tcPr>
          <w:p w14:paraId="786C6295">
            <w:pPr>
              <w:spacing w:line="340" w:lineRule="exact"/>
              <w:jc w:val="center"/>
              <w:rPr>
                <w:rFonts w:ascii="宋体" w:hAnsi="宋体"/>
                <w:color w:val="000000"/>
                <w:szCs w:val="21"/>
              </w:rPr>
            </w:pPr>
            <w:r>
              <w:rPr>
                <w:rFonts w:hint="eastAsia" w:ascii="宋体" w:hAnsi="宋体"/>
                <w:color w:val="000000"/>
                <w:szCs w:val="21"/>
              </w:rPr>
              <w:t>8</w:t>
            </w:r>
          </w:p>
        </w:tc>
        <w:tc>
          <w:tcPr>
            <w:tcW w:w="1478" w:type="dxa"/>
            <w:vAlign w:val="center"/>
          </w:tcPr>
          <w:p w14:paraId="5A6FACA5">
            <w:pPr>
              <w:spacing w:line="340" w:lineRule="exact"/>
              <w:jc w:val="center"/>
              <w:rPr>
                <w:rFonts w:ascii="宋体" w:hAnsi="宋体"/>
                <w:color w:val="000000"/>
                <w:szCs w:val="21"/>
              </w:rPr>
            </w:pPr>
            <w:r>
              <w:rPr>
                <w:rFonts w:hint="eastAsia" w:ascii="宋体" w:hAnsi="宋体"/>
                <w:szCs w:val="21"/>
              </w:rPr>
              <w:t>无此类设施</w:t>
            </w:r>
          </w:p>
        </w:tc>
        <w:tc>
          <w:tcPr>
            <w:tcW w:w="1275" w:type="dxa"/>
            <w:vAlign w:val="center"/>
          </w:tcPr>
          <w:p w14:paraId="2E884CB5">
            <w:pPr>
              <w:spacing w:line="340" w:lineRule="exact"/>
              <w:jc w:val="center"/>
              <w:rPr>
                <w:rFonts w:ascii="宋体" w:hAnsi="宋体"/>
                <w:color w:val="000000"/>
                <w:szCs w:val="21"/>
              </w:rPr>
            </w:pPr>
            <w:r>
              <w:rPr>
                <w:rFonts w:hint="eastAsia" w:ascii="宋体" w:hAnsi="宋体"/>
                <w:color w:val="000000"/>
                <w:szCs w:val="21"/>
              </w:rPr>
              <w:t>符合</w:t>
            </w:r>
          </w:p>
        </w:tc>
      </w:tr>
      <w:tr w14:paraId="10EF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41D40276">
            <w:pPr>
              <w:spacing w:line="340" w:lineRule="exact"/>
              <w:rPr>
                <w:rFonts w:ascii="宋体" w:hAnsi="宋体"/>
                <w:color w:val="000000"/>
                <w:szCs w:val="21"/>
              </w:rPr>
            </w:pPr>
            <w:r>
              <w:rPr>
                <w:rFonts w:hint="eastAsia" w:ascii="宋体" w:hAnsi="宋体"/>
                <w:color w:val="000000"/>
                <w:szCs w:val="21"/>
              </w:rPr>
              <w:t>2</w:t>
            </w:r>
            <w:r>
              <w:rPr>
                <w:rFonts w:ascii="宋体" w:hAnsi="宋体"/>
                <w:color w:val="000000"/>
                <w:szCs w:val="21"/>
              </w:rPr>
              <w:t>0</w:t>
            </w:r>
          </w:p>
        </w:tc>
        <w:tc>
          <w:tcPr>
            <w:tcW w:w="3927" w:type="dxa"/>
            <w:vAlign w:val="center"/>
          </w:tcPr>
          <w:p w14:paraId="7947BCE4">
            <w:pPr>
              <w:spacing w:line="340" w:lineRule="exact"/>
              <w:rPr>
                <w:rFonts w:ascii="宋体" w:hAnsi="宋体"/>
                <w:color w:val="000000"/>
                <w:szCs w:val="21"/>
              </w:rPr>
            </w:pPr>
            <w:r>
              <w:rPr>
                <w:rFonts w:hint="eastAsia" w:ascii="宋体" w:hAnsi="宋体"/>
                <w:color w:val="000000"/>
                <w:szCs w:val="21"/>
              </w:rPr>
              <w:t>汽油加油机与站房</w:t>
            </w:r>
          </w:p>
        </w:tc>
        <w:tc>
          <w:tcPr>
            <w:tcW w:w="1071" w:type="dxa"/>
            <w:vAlign w:val="center"/>
          </w:tcPr>
          <w:p w14:paraId="66EB8BE6">
            <w:pPr>
              <w:spacing w:line="340" w:lineRule="exact"/>
              <w:jc w:val="center"/>
              <w:rPr>
                <w:rFonts w:ascii="宋体" w:hAnsi="宋体"/>
                <w:color w:val="000000"/>
                <w:szCs w:val="21"/>
              </w:rPr>
            </w:pPr>
            <w:r>
              <w:rPr>
                <w:rFonts w:hint="eastAsia" w:ascii="宋体" w:hAnsi="宋体"/>
                <w:color w:val="000000"/>
                <w:szCs w:val="21"/>
              </w:rPr>
              <w:t>5</w:t>
            </w:r>
          </w:p>
        </w:tc>
        <w:tc>
          <w:tcPr>
            <w:tcW w:w="1478" w:type="dxa"/>
            <w:vAlign w:val="center"/>
          </w:tcPr>
          <w:p w14:paraId="1FAFC90F">
            <w:pPr>
              <w:spacing w:line="340" w:lineRule="exact"/>
              <w:jc w:val="center"/>
              <w:rPr>
                <w:rFonts w:ascii="宋体" w:hAnsi="宋体"/>
                <w:color w:val="000000"/>
                <w:szCs w:val="21"/>
              </w:rPr>
            </w:pPr>
            <w:r>
              <w:rPr>
                <w:rFonts w:hint="eastAsia" w:ascii="宋体" w:hAnsi="宋体"/>
                <w:szCs w:val="21"/>
                <w:lang w:val="en-US" w:eastAsia="zh-CN"/>
              </w:rPr>
              <w:t>11.1</w:t>
            </w:r>
          </w:p>
        </w:tc>
        <w:tc>
          <w:tcPr>
            <w:tcW w:w="1275" w:type="dxa"/>
            <w:vAlign w:val="center"/>
          </w:tcPr>
          <w:p w14:paraId="12568539">
            <w:pPr>
              <w:spacing w:line="340" w:lineRule="exact"/>
              <w:jc w:val="center"/>
              <w:rPr>
                <w:rFonts w:ascii="宋体" w:hAnsi="宋体"/>
                <w:color w:val="FF0000"/>
                <w:szCs w:val="21"/>
              </w:rPr>
            </w:pPr>
            <w:r>
              <w:rPr>
                <w:rFonts w:hint="eastAsia" w:ascii="宋体" w:hAnsi="宋体"/>
                <w:color w:val="FF0000"/>
                <w:szCs w:val="21"/>
              </w:rPr>
              <w:t>符合</w:t>
            </w:r>
          </w:p>
        </w:tc>
      </w:tr>
      <w:tr w14:paraId="2002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tcPr>
          <w:p w14:paraId="6B9246FB">
            <w:pPr>
              <w:spacing w:line="340" w:lineRule="exact"/>
              <w:rPr>
                <w:rFonts w:ascii="宋体" w:hAnsi="宋体"/>
                <w:color w:val="000000"/>
                <w:szCs w:val="21"/>
              </w:rPr>
            </w:pPr>
            <w:r>
              <w:rPr>
                <w:rFonts w:hint="eastAsia" w:ascii="宋体" w:hAnsi="宋体"/>
                <w:color w:val="000000"/>
                <w:szCs w:val="21"/>
              </w:rPr>
              <w:t>21</w:t>
            </w:r>
          </w:p>
        </w:tc>
        <w:tc>
          <w:tcPr>
            <w:tcW w:w="3927" w:type="dxa"/>
            <w:vAlign w:val="center"/>
          </w:tcPr>
          <w:p w14:paraId="0CF343A1">
            <w:pPr>
              <w:spacing w:line="340" w:lineRule="exact"/>
              <w:rPr>
                <w:rFonts w:ascii="宋体" w:hAnsi="宋体"/>
                <w:color w:val="000000"/>
                <w:szCs w:val="21"/>
              </w:rPr>
            </w:pPr>
            <w:r>
              <w:rPr>
                <w:rFonts w:hint="eastAsia" w:ascii="宋体" w:hAnsi="宋体"/>
                <w:color w:val="000000"/>
                <w:szCs w:val="21"/>
              </w:rPr>
              <w:t>柴油加油机与站房</w:t>
            </w:r>
          </w:p>
        </w:tc>
        <w:tc>
          <w:tcPr>
            <w:tcW w:w="1071" w:type="dxa"/>
            <w:vAlign w:val="center"/>
          </w:tcPr>
          <w:p w14:paraId="10F0A7DB">
            <w:pPr>
              <w:spacing w:line="340" w:lineRule="exact"/>
              <w:jc w:val="center"/>
              <w:rPr>
                <w:rFonts w:ascii="宋体" w:hAnsi="宋体"/>
                <w:color w:val="000000"/>
                <w:szCs w:val="21"/>
              </w:rPr>
            </w:pPr>
            <w:r>
              <w:rPr>
                <w:rFonts w:hint="eastAsia" w:ascii="宋体" w:hAnsi="宋体"/>
                <w:color w:val="000000"/>
                <w:szCs w:val="21"/>
              </w:rPr>
              <w:t>4</w:t>
            </w:r>
          </w:p>
        </w:tc>
        <w:tc>
          <w:tcPr>
            <w:tcW w:w="1478" w:type="dxa"/>
            <w:vAlign w:val="center"/>
          </w:tcPr>
          <w:p w14:paraId="4616C5D3">
            <w:pPr>
              <w:spacing w:line="340" w:lineRule="exact"/>
              <w:jc w:val="center"/>
              <w:rPr>
                <w:rFonts w:ascii="宋体" w:hAnsi="宋体"/>
                <w:color w:val="000000"/>
                <w:szCs w:val="21"/>
              </w:rPr>
            </w:pPr>
            <w:r>
              <w:rPr>
                <w:rFonts w:hint="eastAsia" w:ascii="宋体" w:hAnsi="宋体"/>
                <w:color w:val="000000"/>
                <w:szCs w:val="21"/>
                <w:lang w:val="en-US" w:eastAsia="zh-CN"/>
              </w:rPr>
              <w:t>11.1</w:t>
            </w:r>
          </w:p>
        </w:tc>
        <w:tc>
          <w:tcPr>
            <w:tcW w:w="1275" w:type="dxa"/>
            <w:vAlign w:val="center"/>
          </w:tcPr>
          <w:p w14:paraId="0EA60CA0">
            <w:pPr>
              <w:spacing w:line="340" w:lineRule="exact"/>
              <w:jc w:val="center"/>
              <w:rPr>
                <w:rFonts w:ascii="宋体" w:hAnsi="宋体"/>
                <w:color w:val="000000"/>
                <w:szCs w:val="21"/>
              </w:rPr>
            </w:pPr>
            <w:r>
              <w:rPr>
                <w:rFonts w:hint="eastAsia" w:ascii="宋体" w:hAnsi="宋体"/>
                <w:color w:val="000000"/>
                <w:szCs w:val="21"/>
              </w:rPr>
              <w:t>符合</w:t>
            </w:r>
          </w:p>
        </w:tc>
      </w:tr>
    </w:tbl>
    <w:p w14:paraId="29837F94">
      <w:pPr>
        <w:jc w:val="center"/>
        <w:rPr>
          <w:rFonts w:hint="eastAsia" w:ascii="宋体" w:hAnsi="宋体"/>
          <w:bCs/>
          <w:sz w:val="28"/>
          <w:szCs w:val="28"/>
        </w:rPr>
      </w:pPr>
    </w:p>
    <w:p w14:paraId="4F65040C">
      <w:pPr>
        <w:pStyle w:val="4"/>
        <w:spacing w:afterLines="100" w:line="500" w:lineRule="exact"/>
        <w:rPr>
          <w:rFonts w:ascii="黑体" w:hAnsi="宋体"/>
          <w:kern w:val="3"/>
          <w:sz w:val="28"/>
          <w:szCs w:val="28"/>
        </w:rPr>
      </w:pPr>
      <w:bookmarkStart w:id="461" w:name="_Toc71894944"/>
      <w:r>
        <w:rPr>
          <w:rFonts w:hint="eastAsia" w:ascii="黑体" w:hAnsi="宋体"/>
          <w:kern w:val="3"/>
          <w:sz w:val="28"/>
          <w:szCs w:val="28"/>
        </w:rPr>
        <w:t>6.2.3小结</w:t>
      </w:r>
      <w:bookmarkEnd w:id="461"/>
    </w:p>
    <w:p w14:paraId="2481E963">
      <w:pPr>
        <w:autoSpaceDE w:val="0"/>
        <w:autoSpaceDN w:val="0"/>
        <w:adjustRightInd w:val="0"/>
        <w:snapToGrid w:val="0"/>
        <w:spacing w:line="500" w:lineRule="exact"/>
        <w:ind w:firstLine="565" w:firstLineChars="202"/>
        <w:jc w:val="left"/>
        <w:rPr>
          <w:rFonts w:ascii="宋体" w:hAnsi="宋体"/>
          <w:color w:val="000000"/>
          <w:sz w:val="28"/>
          <w:szCs w:val="28"/>
        </w:rPr>
      </w:pPr>
      <w:r>
        <w:rPr>
          <w:rFonts w:hint="eastAsia" w:ascii="宋体" w:hAnsi="宋体"/>
          <w:color w:val="000000"/>
          <w:sz w:val="28"/>
          <w:szCs w:val="28"/>
        </w:rPr>
        <w:t>通过对照该加油站进行现场实际勘测及检查（见加油站安全间距检查表表6-3、表6-4），该加油站站内设施的防火间</w:t>
      </w:r>
      <w:r>
        <w:rPr>
          <w:rFonts w:hint="eastAsia" w:ascii="宋体" w:hAnsi="宋体"/>
          <w:color w:val="000000"/>
          <w:sz w:val="28"/>
          <w:szCs w:val="28"/>
          <w:lang w:val="en-US" w:eastAsia="zh-CN"/>
        </w:rPr>
        <w:t>距</w:t>
      </w:r>
      <w:r>
        <w:rPr>
          <w:rFonts w:hint="eastAsia" w:ascii="宋体" w:hAnsi="宋体"/>
          <w:color w:val="000000"/>
          <w:sz w:val="28"/>
          <w:szCs w:val="28"/>
        </w:rPr>
        <w:t>满足</w:t>
      </w:r>
      <w:r>
        <w:rPr>
          <w:rFonts w:hint="eastAsia" w:ascii="新宋体" w:hAnsi="新宋体" w:eastAsia="新宋体"/>
          <w:snapToGrid w:val="0"/>
          <w:sz w:val="28"/>
          <w:szCs w:val="28"/>
        </w:rPr>
        <w:t>《汽车加油加气加氢站技术标准》（GB50156-2021）</w:t>
      </w:r>
      <w:r>
        <w:rPr>
          <w:rFonts w:hint="eastAsia" w:ascii="宋体" w:hAnsi="宋体"/>
          <w:color w:val="000000"/>
          <w:sz w:val="28"/>
          <w:szCs w:val="28"/>
        </w:rPr>
        <w:t>有关条款的要求。</w:t>
      </w:r>
    </w:p>
    <w:p w14:paraId="4C6123EE">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color w:val="000000"/>
          <w:sz w:val="28"/>
          <w:szCs w:val="28"/>
        </w:rPr>
        <w:t>该加油站总平面布置基本合理，符合要求。</w:t>
      </w:r>
    </w:p>
    <w:p w14:paraId="1BB72282">
      <w:pPr>
        <w:pStyle w:val="4"/>
        <w:spacing w:afterLines="100" w:line="500" w:lineRule="exact"/>
        <w:jc w:val="center"/>
        <w:rPr>
          <w:rFonts w:ascii="楷体_GB2312" w:hAnsi="宋体" w:eastAsia="楷体_GB2312"/>
          <w:kern w:val="3"/>
        </w:rPr>
      </w:pPr>
      <w:bookmarkStart w:id="462" w:name="_Toc71894945"/>
      <w:r>
        <w:rPr>
          <w:rFonts w:hint="eastAsia" w:ascii="楷体_GB2312" w:hAnsi="宋体" w:eastAsia="楷体_GB2312"/>
          <w:kern w:val="3"/>
        </w:rPr>
        <w:t>6.3加油工艺及设施评价单元</w:t>
      </w:r>
      <w:bookmarkEnd w:id="462"/>
    </w:p>
    <w:p w14:paraId="6D337779">
      <w:pPr>
        <w:pStyle w:val="4"/>
        <w:spacing w:afterLines="100" w:line="500" w:lineRule="exact"/>
        <w:rPr>
          <w:rFonts w:ascii="黑体" w:hAnsi="宋体"/>
          <w:kern w:val="3"/>
          <w:sz w:val="28"/>
          <w:szCs w:val="28"/>
        </w:rPr>
      </w:pPr>
      <w:bookmarkStart w:id="463" w:name="_Toc71894946"/>
      <w:r>
        <w:rPr>
          <w:rFonts w:hint="eastAsia" w:ascii="黑体" w:hAnsi="宋体"/>
          <w:kern w:val="3"/>
          <w:sz w:val="28"/>
          <w:szCs w:val="28"/>
        </w:rPr>
        <w:t>6.3.1工艺及设施系统安全检查表</w:t>
      </w:r>
      <w:bookmarkEnd w:id="463"/>
    </w:p>
    <w:p w14:paraId="76F7BDD7">
      <w:pPr>
        <w:ind w:firstLine="560" w:firstLineChars="200"/>
        <w:rPr>
          <w:rFonts w:ascii="宋体" w:hAnsi="宋体"/>
          <w:sz w:val="28"/>
          <w:szCs w:val="28"/>
        </w:rPr>
      </w:pPr>
      <w:r>
        <w:rPr>
          <w:rFonts w:hint="eastAsia" w:ascii="宋体" w:hAnsi="宋体"/>
          <w:sz w:val="28"/>
          <w:szCs w:val="28"/>
        </w:rPr>
        <w:t xml:space="preserve">按照《汽车加油加气加氢站技术标准》（GB50156-2021） </w:t>
      </w:r>
      <w:r>
        <w:rPr>
          <w:rFonts w:ascii="宋体" w:hAnsi="宋体"/>
          <w:sz w:val="28"/>
          <w:szCs w:val="28"/>
        </w:rPr>
        <w:t>的相关规定，对该加油站加油工艺</w:t>
      </w:r>
      <w:r>
        <w:rPr>
          <w:rFonts w:hint="eastAsia" w:ascii="宋体" w:hAnsi="宋体"/>
          <w:sz w:val="28"/>
          <w:szCs w:val="28"/>
        </w:rPr>
        <w:t>设施系统进行安全评价，具体情况见表6-6。</w:t>
      </w:r>
    </w:p>
    <w:p w14:paraId="0AC48E37">
      <w:pPr>
        <w:jc w:val="center"/>
        <w:rPr>
          <w:rFonts w:ascii="宋体" w:hAnsi="宋体"/>
          <w:bCs/>
          <w:sz w:val="28"/>
          <w:szCs w:val="28"/>
        </w:rPr>
      </w:pPr>
      <w:r>
        <w:rPr>
          <w:rFonts w:ascii="宋体" w:hAnsi="宋体"/>
          <w:bCs/>
          <w:sz w:val="28"/>
          <w:szCs w:val="28"/>
        </w:rPr>
        <w:t>表</w:t>
      </w:r>
      <w:r>
        <w:rPr>
          <w:rFonts w:hint="eastAsia" w:ascii="宋体" w:hAnsi="宋体"/>
          <w:bCs/>
          <w:sz w:val="28"/>
          <w:szCs w:val="28"/>
        </w:rPr>
        <w:t>6-6</w:t>
      </w:r>
      <w:r>
        <w:rPr>
          <w:rFonts w:ascii="宋体" w:hAnsi="宋体"/>
          <w:bCs/>
          <w:sz w:val="28"/>
          <w:szCs w:val="28"/>
        </w:rPr>
        <w:t>工艺</w:t>
      </w:r>
      <w:r>
        <w:rPr>
          <w:rFonts w:hint="eastAsia" w:ascii="宋体" w:hAnsi="宋体"/>
          <w:bCs/>
          <w:sz w:val="28"/>
          <w:szCs w:val="28"/>
        </w:rPr>
        <w:t>设施</w:t>
      </w:r>
      <w:r>
        <w:rPr>
          <w:rFonts w:ascii="宋体" w:hAnsi="宋体"/>
          <w:bCs/>
          <w:sz w:val="28"/>
          <w:szCs w:val="28"/>
        </w:rPr>
        <w:t>系统安全检查表</w:t>
      </w:r>
    </w:p>
    <w:tbl>
      <w:tblPr>
        <w:tblStyle w:val="33"/>
        <w:tblpPr w:leftFromText="180" w:rightFromText="180" w:vertAnchor="text" w:horzAnchor="margin" w:tblpY="15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567"/>
        <w:gridCol w:w="525"/>
        <w:gridCol w:w="939"/>
        <w:gridCol w:w="1384"/>
        <w:gridCol w:w="2340"/>
        <w:gridCol w:w="900"/>
      </w:tblGrid>
      <w:tr w14:paraId="0DFE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471FA49">
            <w:pPr>
              <w:jc w:val="center"/>
              <w:rPr>
                <w:rFonts w:ascii="宋体" w:hAnsi="宋体"/>
                <w:b/>
                <w:szCs w:val="21"/>
              </w:rPr>
            </w:pPr>
            <w:r>
              <w:rPr>
                <w:rFonts w:ascii="宋体" w:hAnsi="宋体"/>
                <w:b/>
                <w:szCs w:val="21"/>
              </w:rPr>
              <w:t>检查内容</w:t>
            </w:r>
          </w:p>
        </w:tc>
        <w:tc>
          <w:tcPr>
            <w:tcW w:w="1384" w:type="dxa"/>
          </w:tcPr>
          <w:p w14:paraId="145DD9CA">
            <w:pPr>
              <w:jc w:val="center"/>
              <w:rPr>
                <w:rFonts w:ascii="宋体" w:hAnsi="宋体"/>
                <w:b/>
                <w:szCs w:val="21"/>
              </w:rPr>
            </w:pPr>
            <w:r>
              <w:rPr>
                <w:rFonts w:hint="eastAsia" w:ascii="宋体" w:hAnsi="宋体"/>
                <w:b/>
                <w:szCs w:val="21"/>
              </w:rPr>
              <w:t>检查依据</w:t>
            </w:r>
          </w:p>
        </w:tc>
        <w:tc>
          <w:tcPr>
            <w:tcW w:w="2340" w:type="dxa"/>
            <w:vAlign w:val="center"/>
          </w:tcPr>
          <w:p w14:paraId="54133F3F">
            <w:pPr>
              <w:jc w:val="center"/>
              <w:rPr>
                <w:rFonts w:ascii="宋体" w:hAnsi="宋体"/>
                <w:b/>
                <w:szCs w:val="21"/>
              </w:rPr>
            </w:pPr>
            <w:r>
              <w:rPr>
                <w:rFonts w:ascii="宋体" w:hAnsi="宋体"/>
                <w:b/>
                <w:szCs w:val="21"/>
              </w:rPr>
              <w:t>检查结果</w:t>
            </w:r>
          </w:p>
        </w:tc>
        <w:tc>
          <w:tcPr>
            <w:tcW w:w="900" w:type="dxa"/>
            <w:vAlign w:val="center"/>
          </w:tcPr>
          <w:p w14:paraId="6EF75F76">
            <w:pPr>
              <w:jc w:val="center"/>
              <w:rPr>
                <w:rFonts w:ascii="宋体" w:hAnsi="宋体"/>
                <w:b/>
                <w:szCs w:val="21"/>
              </w:rPr>
            </w:pPr>
            <w:r>
              <w:rPr>
                <w:rFonts w:ascii="宋体" w:hAnsi="宋体"/>
                <w:b/>
                <w:szCs w:val="21"/>
              </w:rPr>
              <w:t>结论</w:t>
            </w:r>
          </w:p>
        </w:tc>
      </w:tr>
      <w:tr w14:paraId="02B3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565215BB">
            <w:pPr>
              <w:jc w:val="center"/>
              <w:rPr>
                <w:rFonts w:ascii="宋体" w:hAnsi="宋体"/>
                <w:szCs w:val="21"/>
              </w:rPr>
            </w:pPr>
            <w:r>
              <w:rPr>
                <w:rFonts w:ascii="宋体" w:hAnsi="宋体"/>
                <w:szCs w:val="21"/>
              </w:rPr>
              <w:t>油   罐</w:t>
            </w:r>
          </w:p>
        </w:tc>
      </w:tr>
      <w:tr w14:paraId="29AC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BB9B40B">
            <w:pPr>
              <w:rPr>
                <w:rFonts w:ascii="宋体" w:hAnsi="宋体"/>
                <w:szCs w:val="21"/>
              </w:rPr>
            </w:pPr>
            <w:r>
              <w:rPr>
                <w:rFonts w:hint="eastAsia" w:ascii="宋体" w:hAnsi="宋体"/>
                <w:szCs w:val="21"/>
              </w:rPr>
              <w:t>除撬装式加油站装置所配置的防火防爆油罐外，加油站的汽油罐和柴油罐应埋地设置，严禁设在室内或</w:t>
            </w:r>
            <w:r>
              <w:rPr>
                <w:rFonts w:ascii="宋体" w:hAnsi="宋体"/>
                <w:szCs w:val="21"/>
              </w:rPr>
              <w:t>地下室内。</w:t>
            </w:r>
          </w:p>
        </w:tc>
        <w:tc>
          <w:tcPr>
            <w:tcW w:w="1384" w:type="dxa"/>
            <w:vMerge w:val="restart"/>
          </w:tcPr>
          <w:p w14:paraId="7624720C">
            <w:pPr>
              <w:rPr>
                <w:rFonts w:ascii="宋体" w:hAnsi="宋体"/>
                <w:szCs w:val="21"/>
              </w:rPr>
            </w:pPr>
            <w:r>
              <w:rPr>
                <w:rFonts w:hint="eastAsia" w:ascii="宋体" w:hAnsi="宋体"/>
                <w:szCs w:val="21"/>
              </w:rPr>
              <w:t>《汽车加油加气加氢站技术标准》（GB50156-2021）6.1</w:t>
            </w:r>
          </w:p>
          <w:p w14:paraId="557D88A9">
            <w:pPr>
              <w:jc w:val="center"/>
              <w:rPr>
                <w:rFonts w:ascii="宋体" w:hAnsi="宋体"/>
                <w:szCs w:val="21"/>
              </w:rPr>
            </w:pPr>
          </w:p>
        </w:tc>
        <w:tc>
          <w:tcPr>
            <w:tcW w:w="2340" w:type="dxa"/>
            <w:vAlign w:val="center"/>
          </w:tcPr>
          <w:p w14:paraId="5EA37553">
            <w:pPr>
              <w:rPr>
                <w:rFonts w:ascii="宋体" w:hAnsi="宋体"/>
                <w:szCs w:val="21"/>
              </w:rPr>
            </w:pPr>
            <w:r>
              <w:rPr>
                <w:rFonts w:ascii="宋体" w:hAnsi="宋体"/>
                <w:szCs w:val="21"/>
              </w:rPr>
              <w:t>为埋地油罐，</w:t>
            </w:r>
            <w:r>
              <w:rPr>
                <w:rFonts w:hint="eastAsia" w:ascii="宋体" w:hAnsi="宋体"/>
                <w:szCs w:val="21"/>
              </w:rPr>
              <w:t>未设置地下室</w:t>
            </w:r>
            <w:r>
              <w:rPr>
                <w:rFonts w:ascii="宋体" w:hAnsi="宋体"/>
                <w:szCs w:val="21"/>
              </w:rPr>
              <w:t>。</w:t>
            </w:r>
          </w:p>
        </w:tc>
        <w:tc>
          <w:tcPr>
            <w:tcW w:w="900" w:type="dxa"/>
            <w:vAlign w:val="center"/>
          </w:tcPr>
          <w:p w14:paraId="1A265CFB">
            <w:pPr>
              <w:jc w:val="center"/>
              <w:rPr>
                <w:rFonts w:ascii="宋体" w:hAnsi="宋体"/>
                <w:szCs w:val="21"/>
              </w:rPr>
            </w:pPr>
            <w:r>
              <w:rPr>
                <w:rFonts w:ascii="宋体" w:hAnsi="宋体"/>
                <w:szCs w:val="21"/>
              </w:rPr>
              <w:t>符合</w:t>
            </w:r>
          </w:p>
        </w:tc>
      </w:tr>
      <w:tr w14:paraId="7C68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432C332">
            <w:pPr>
              <w:rPr>
                <w:rFonts w:ascii="宋体" w:hAnsi="宋体"/>
                <w:szCs w:val="21"/>
              </w:rPr>
            </w:pPr>
            <w:r>
              <w:rPr>
                <w:rFonts w:ascii="宋体" w:hAnsi="宋体"/>
                <w:kern w:val="0"/>
                <w:szCs w:val="21"/>
              </w:rPr>
              <w:t>汽车加油站的储油罐应采用卧式油罐。</w:t>
            </w:r>
          </w:p>
        </w:tc>
        <w:tc>
          <w:tcPr>
            <w:tcW w:w="1384" w:type="dxa"/>
            <w:vMerge w:val="continue"/>
          </w:tcPr>
          <w:p w14:paraId="4E2D0BD4">
            <w:pPr>
              <w:jc w:val="center"/>
              <w:rPr>
                <w:rFonts w:ascii="宋体" w:hAnsi="宋体"/>
                <w:szCs w:val="21"/>
              </w:rPr>
            </w:pPr>
          </w:p>
        </w:tc>
        <w:tc>
          <w:tcPr>
            <w:tcW w:w="2340" w:type="dxa"/>
            <w:vAlign w:val="center"/>
          </w:tcPr>
          <w:p w14:paraId="78F840C2">
            <w:pPr>
              <w:rPr>
                <w:rFonts w:ascii="宋体" w:hAnsi="宋体"/>
                <w:szCs w:val="21"/>
              </w:rPr>
            </w:pPr>
            <w:r>
              <w:rPr>
                <w:rFonts w:ascii="宋体" w:hAnsi="宋体"/>
                <w:szCs w:val="21"/>
              </w:rPr>
              <w:t>为</w:t>
            </w:r>
            <w:r>
              <w:rPr>
                <w:rFonts w:ascii="宋体" w:hAnsi="宋体"/>
                <w:kern w:val="0"/>
                <w:szCs w:val="21"/>
              </w:rPr>
              <w:t>卧式油罐。</w:t>
            </w:r>
          </w:p>
        </w:tc>
        <w:tc>
          <w:tcPr>
            <w:tcW w:w="900" w:type="dxa"/>
            <w:vAlign w:val="center"/>
          </w:tcPr>
          <w:p w14:paraId="4B17D731">
            <w:pPr>
              <w:jc w:val="center"/>
              <w:rPr>
                <w:rFonts w:ascii="宋体" w:hAnsi="宋体"/>
                <w:szCs w:val="21"/>
              </w:rPr>
            </w:pPr>
            <w:r>
              <w:rPr>
                <w:rFonts w:ascii="宋体" w:hAnsi="宋体"/>
                <w:szCs w:val="21"/>
              </w:rPr>
              <w:t>符合</w:t>
            </w:r>
          </w:p>
        </w:tc>
      </w:tr>
      <w:tr w14:paraId="4AC3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7B060FC">
            <w:pPr>
              <w:rPr>
                <w:rFonts w:ascii="宋体" w:hAnsi="宋体"/>
                <w:szCs w:val="21"/>
              </w:rPr>
            </w:pPr>
            <w:r>
              <w:rPr>
                <w:rFonts w:ascii="宋体" w:hAnsi="宋体"/>
                <w:szCs w:val="21"/>
              </w:rPr>
              <w:t>埋地油罐需要采用双层油罐时，可采用双层钢制油罐、双层玻璃纤维增强塑料油罐、内钢外玻璃纤维增强塑料双层油罐。既有加油站的埋地单层钢质油罐改造为双层油罐时，可采用玻璃纤维增强塑料等满足强度和防渗漏要求的材料进行衬里改造。</w:t>
            </w:r>
          </w:p>
        </w:tc>
        <w:tc>
          <w:tcPr>
            <w:tcW w:w="1384" w:type="dxa"/>
            <w:vMerge w:val="continue"/>
          </w:tcPr>
          <w:p w14:paraId="7C45E21C">
            <w:pPr>
              <w:jc w:val="center"/>
              <w:rPr>
                <w:rFonts w:ascii="宋体" w:hAnsi="宋体"/>
                <w:szCs w:val="21"/>
              </w:rPr>
            </w:pPr>
          </w:p>
        </w:tc>
        <w:tc>
          <w:tcPr>
            <w:tcW w:w="2340" w:type="dxa"/>
            <w:vAlign w:val="center"/>
          </w:tcPr>
          <w:p w14:paraId="35F028CC">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p>
        </w:tc>
        <w:tc>
          <w:tcPr>
            <w:tcW w:w="900" w:type="dxa"/>
            <w:vAlign w:val="center"/>
          </w:tcPr>
          <w:p w14:paraId="494F41F7">
            <w:pPr>
              <w:jc w:val="center"/>
              <w:rPr>
                <w:rFonts w:ascii="宋体" w:hAnsi="宋体"/>
                <w:szCs w:val="21"/>
              </w:rPr>
            </w:pPr>
            <w:r>
              <w:rPr>
                <w:rFonts w:hint="eastAsia" w:ascii="宋体" w:hAnsi="宋体"/>
                <w:szCs w:val="21"/>
              </w:rPr>
              <w:t>符合</w:t>
            </w:r>
          </w:p>
        </w:tc>
      </w:tr>
      <w:tr w14:paraId="5B8F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A22C2D0">
            <w:pPr>
              <w:rPr>
                <w:rFonts w:ascii="宋体" w:hAnsi="宋体"/>
                <w:kern w:val="0"/>
                <w:szCs w:val="21"/>
              </w:rPr>
            </w:pPr>
            <w:r>
              <w:rPr>
                <w:rFonts w:ascii="宋体" w:hAnsi="宋体"/>
                <w:kern w:val="0"/>
                <w:szCs w:val="21"/>
              </w:rPr>
              <w:t>单层钢质油罐、双层钢质油罐和内钢外玻璃纤维增强塑料双层油罐的内层罐的罐体结构设计，可按现行行业标准，《钢质常压储罐第一部分：储存对</w:t>
            </w:r>
            <w:r>
              <w:rPr>
                <w:rFonts w:hint="eastAsia" w:ascii="宋体" w:hAnsi="宋体"/>
                <w:kern w:val="0"/>
                <w:szCs w:val="21"/>
              </w:rPr>
              <w:t>水</w:t>
            </w:r>
            <w:r>
              <w:rPr>
                <w:rFonts w:ascii="宋体" w:hAnsi="宋体"/>
                <w:kern w:val="0"/>
                <w:szCs w:val="21"/>
              </w:rPr>
              <w:t>有污染的易燃和不易燃液体的埋地卧式圆筒形单层和双层储罐》AQ3020的有关规定执行，并应符合下列规定：</w:t>
            </w:r>
          </w:p>
          <w:p w14:paraId="722E8895">
            <w:pPr>
              <w:rPr>
                <w:rFonts w:ascii="宋体" w:hAnsi="宋体"/>
                <w:szCs w:val="21"/>
              </w:rPr>
            </w:pPr>
            <w:r>
              <w:rPr>
                <w:rFonts w:hint="eastAsia" w:ascii="宋体" w:hAnsi="宋体"/>
                <w:kern w:val="0"/>
                <w:szCs w:val="21"/>
              </w:rPr>
              <w:t>1.</w:t>
            </w:r>
            <w:r>
              <w:rPr>
                <w:rFonts w:ascii="宋体" w:hAnsi="宋体"/>
                <w:kern w:val="0"/>
                <w:szCs w:val="21"/>
              </w:rPr>
              <w:t>钢制油罐的罐体和封头所用钢板的公称厚度，不应小于下表规定：</w:t>
            </w:r>
          </w:p>
        </w:tc>
        <w:tc>
          <w:tcPr>
            <w:tcW w:w="1384" w:type="dxa"/>
            <w:vMerge w:val="continue"/>
          </w:tcPr>
          <w:p w14:paraId="38088050">
            <w:pPr>
              <w:jc w:val="center"/>
              <w:rPr>
                <w:rFonts w:ascii="宋体" w:hAnsi="宋体"/>
                <w:szCs w:val="21"/>
              </w:rPr>
            </w:pPr>
          </w:p>
        </w:tc>
        <w:tc>
          <w:tcPr>
            <w:tcW w:w="2340" w:type="dxa"/>
            <w:vMerge w:val="restart"/>
            <w:vAlign w:val="center"/>
          </w:tcPr>
          <w:p w14:paraId="1A6F1B20">
            <w:pPr>
              <w:jc w:val="left"/>
              <w:rPr>
                <w:rFonts w:ascii="宋体" w:hAnsi="宋体"/>
                <w:kern w:val="0"/>
                <w:szCs w:val="21"/>
              </w:rPr>
            </w:pPr>
            <w:r>
              <w:rPr>
                <w:rFonts w:ascii="宋体" w:hAnsi="宋体"/>
                <w:kern w:val="0"/>
                <w:szCs w:val="21"/>
              </w:rPr>
              <w:t>为</w:t>
            </w:r>
            <w:r>
              <w:rPr>
                <w:rFonts w:hint="eastAsia" w:ascii="宋体" w:hAnsi="宋体"/>
                <w:kern w:val="0"/>
                <w:szCs w:val="21"/>
              </w:rPr>
              <w:t>双层SF</w:t>
            </w:r>
            <w:r>
              <w:rPr>
                <w:rFonts w:ascii="宋体" w:hAnsi="宋体"/>
                <w:kern w:val="0"/>
                <w:szCs w:val="21"/>
              </w:rPr>
              <w:t>油罐。</w:t>
            </w:r>
            <w:r>
              <w:rPr>
                <w:rFonts w:hint="eastAsia" w:ascii="宋体" w:hAnsi="宋体"/>
                <w:kern w:val="0"/>
                <w:szCs w:val="21"/>
                <w:lang w:val="en-US" w:eastAsia="zh-CN"/>
              </w:rPr>
              <w:t>直径为</w:t>
            </w:r>
            <w:r>
              <w:rPr>
                <w:rFonts w:hint="eastAsia" w:ascii="宋体" w:hAnsi="宋体"/>
                <w:kern w:val="0"/>
                <w:szCs w:val="21"/>
              </w:rPr>
              <w:t>2800mm，封头为8 mm，筒体为7 mm。</w:t>
            </w:r>
          </w:p>
          <w:p w14:paraId="1AC1BA66">
            <w:pPr>
              <w:jc w:val="left"/>
              <w:rPr>
                <w:rFonts w:ascii="宋体" w:hAnsi="宋体"/>
                <w:szCs w:val="21"/>
              </w:rPr>
            </w:pPr>
          </w:p>
        </w:tc>
        <w:tc>
          <w:tcPr>
            <w:tcW w:w="900" w:type="dxa"/>
            <w:vMerge w:val="restart"/>
            <w:vAlign w:val="center"/>
          </w:tcPr>
          <w:p w14:paraId="761785C6">
            <w:pPr>
              <w:jc w:val="center"/>
              <w:rPr>
                <w:rFonts w:ascii="宋体" w:hAnsi="宋体"/>
                <w:szCs w:val="21"/>
              </w:rPr>
            </w:pPr>
            <w:r>
              <w:rPr>
                <w:rFonts w:hint="eastAsia" w:ascii="宋体" w:hAnsi="宋体"/>
                <w:szCs w:val="21"/>
              </w:rPr>
              <w:t>符合</w:t>
            </w:r>
          </w:p>
        </w:tc>
      </w:tr>
      <w:tr w14:paraId="4836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526" w:type="dxa"/>
            <w:vMerge w:val="restart"/>
            <w:vAlign w:val="center"/>
          </w:tcPr>
          <w:p w14:paraId="449839C9">
            <w:pPr>
              <w:jc w:val="left"/>
              <w:rPr>
                <w:rFonts w:ascii="宋体" w:hAnsi="宋体"/>
                <w:szCs w:val="21"/>
              </w:rPr>
            </w:pPr>
            <w:r>
              <w:rPr>
                <w:rFonts w:ascii="宋体" w:hAnsi="宋体"/>
                <w:kern w:val="0"/>
                <w:szCs w:val="21"/>
              </w:rPr>
              <w:t>油罐公称直径（mm）</w:t>
            </w:r>
          </w:p>
        </w:tc>
        <w:tc>
          <w:tcPr>
            <w:tcW w:w="1134" w:type="dxa"/>
            <w:gridSpan w:val="2"/>
            <w:vAlign w:val="center"/>
          </w:tcPr>
          <w:p w14:paraId="2BB6CC8C">
            <w:pPr>
              <w:jc w:val="left"/>
              <w:rPr>
                <w:rFonts w:ascii="宋体" w:hAnsi="宋体"/>
                <w:kern w:val="0"/>
                <w:sz w:val="18"/>
                <w:szCs w:val="18"/>
              </w:rPr>
            </w:pPr>
            <w:r>
              <w:rPr>
                <w:rFonts w:hint="eastAsia" w:ascii="宋体" w:hAnsi="宋体"/>
                <w:kern w:val="0"/>
                <w:sz w:val="18"/>
                <w:szCs w:val="18"/>
              </w:rPr>
              <w:t>单层油罐、双层油罐内层罐罐体和封头公称厚度</w:t>
            </w:r>
          </w:p>
        </w:tc>
        <w:tc>
          <w:tcPr>
            <w:tcW w:w="1464" w:type="dxa"/>
            <w:gridSpan w:val="2"/>
            <w:vAlign w:val="center"/>
          </w:tcPr>
          <w:p w14:paraId="64CA626A">
            <w:pPr>
              <w:rPr>
                <w:rFonts w:ascii="宋体" w:hAnsi="宋体"/>
                <w:sz w:val="18"/>
                <w:szCs w:val="18"/>
              </w:rPr>
            </w:pPr>
            <w:r>
              <w:rPr>
                <w:rFonts w:hint="eastAsia" w:ascii="宋体" w:hAnsi="宋体"/>
                <w:kern w:val="0"/>
                <w:sz w:val="18"/>
                <w:szCs w:val="18"/>
              </w:rPr>
              <w:t>双层钢制油罐外层罐罐体和封头公称厚度</w:t>
            </w:r>
          </w:p>
        </w:tc>
        <w:tc>
          <w:tcPr>
            <w:tcW w:w="1384" w:type="dxa"/>
            <w:vMerge w:val="continue"/>
          </w:tcPr>
          <w:p w14:paraId="2FE2CFEF">
            <w:pPr>
              <w:rPr>
                <w:rFonts w:ascii="宋体" w:hAnsi="宋体"/>
                <w:szCs w:val="21"/>
              </w:rPr>
            </w:pPr>
          </w:p>
        </w:tc>
        <w:tc>
          <w:tcPr>
            <w:tcW w:w="2340" w:type="dxa"/>
            <w:vMerge w:val="continue"/>
            <w:vAlign w:val="center"/>
          </w:tcPr>
          <w:p w14:paraId="752EED3D">
            <w:pPr>
              <w:rPr>
                <w:rFonts w:ascii="宋体" w:hAnsi="宋体"/>
                <w:szCs w:val="21"/>
              </w:rPr>
            </w:pPr>
          </w:p>
        </w:tc>
        <w:tc>
          <w:tcPr>
            <w:tcW w:w="900" w:type="dxa"/>
            <w:vMerge w:val="continue"/>
            <w:vAlign w:val="center"/>
          </w:tcPr>
          <w:p w14:paraId="74470919">
            <w:pPr>
              <w:jc w:val="center"/>
              <w:rPr>
                <w:rFonts w:ascii="宋体" w:hAnsi="宋体"/>
                <w:szCs w:val="21"/>
              </w:rPr>
            </w:pPr>
          </w:p>
        </w:tc>
      </w:tr>
      <w:tr w14:paraId="6DD9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26" w:type="dxa"/>
            <w:vMerge w:val="continue"/>
            <w:vAlign w:val="center"/>
          </w:tcPr>
          <w:p w14:paraId="76885DC7">
            <w:pPr>
              <w:jc w:val="left"/>
              <w:rPr>
                <w:rFonts w:ascii="宋体" w:hAnsi="宋体"/>
                <w:kern w:val="0"/>
                <w:szCs w:val="21"/>
              </w:rPr>
            </w:pPr>
          </w:p>
        </w:tc>
        <w:tc>
          <w:tcPr>
            <w:tcW w:w="567" w:type="dxa"/>
          </w:tcPr>
          <w:p w14:paraId="2A1F1B8A">
            <w:pPr>
              <w:rPr>
                <w:rFonts w:ascii="宋体" w:hAnsi="宋体"/>
                <w:kern w:val="0"/>
                <w:sz w:val="18"/>
                <w:szCs w:val="18"/>
              </w:rPr>
            </w:pPr>
            <w:r>
              <w:rPr>
                <w:rFonts w:ascii="宋体" w:hAnsi="宋体"/>
                <w:kern w:val="0"/>
                <w:sz w:val="18"/>
                <w:szCs w:val="18"/>
              </w:rPr>
              <w:t>罐体</w:t>
            </w:r>
          </w:p>
        </w:tc>
        <w:tc>
          <w:tcPr>
            <w:tcW w:w="567" w:type="dxa"/>
          </w:tcPr>
          <w:p w14:paraId="75749329">
            <w:pPr>
              <w:widowControl/>
              <w:jc w:val="left"/>
              <w:rPr>
                <w:rFonts w:ascii="宋体" w:hAnsi="宋体"/>
                <w:kern w:val="0"/>
                <w:sz w:val="18"/>
                <w:szCs w:val="18"/>
              </w:rPr>
            </w:pPr>
            <w:r>
              <w:rPr>
                <w:rFonts w:hint="eastAsia" w:ascii="宋体" w:hAnsi="宋体"/>
                <w:kern w:val="0"/>
                <w:sz w:val="18"/>
                <w:szCs w:val="18"/>
              </w:rPr>
              <w:t>封头</w:t>
            </w:r>
          </w:p>
        </w:tc>
        <w:tc>
          <w:tcPr>
            <w:tcW w:w="525" w:type="dxa"/>
          </w:tcPr>
          <w:p w14:paraId="3284FE58">
            <w:pPr>
              <w:rPr>
                <w:rFonts w:ascii="宋体" w:hAnsi="宋体"/>
                <w:kern w:val="0"/>
                <w:sz w:val="18"/>
                <w:szCs w:val="18"/>
              </w:rPr>
            </w:pPr>
            <w:r>
              <w:rPr>
                <w:rFonts w:ascii="宋体" w:hAnsi="宋体"/>
                <w:kern w:val="0"/>
                <w:sz w:val="18"/>
                <w:szCs w:val="18"/>
              </w:rPr>
              <w:t>罐体</w:t>
            </w:r>
          </w:p>
        </w:tc>
        <w:tc>
          <w:tcPr>
            <w:tcW w:w="939" w:type="dxa"/>
          </w:tcPr>
          <w:p w14:paraId="1F19F744">
            <w:pPr>
              <w:rPr>
                <w:rFonts w:ascii="宋体" w:hAnsi="宋体"/>
                <w:kern w:val="0"/>
                <w:szCs w:val="21"/>
              </w:rPr>
            </w:pPr>
            <w:r>
              <w:rPr>
                <w:rFonts w:hint="eastAsia" w:ascii="宋体" w:hAnsi="宋体"/>
                <w:kern w:val="0"/>
                <w:sz w:val="18"/>
                <w:szCs w:val="18"/>
              </w:rPr>
              <w:t>封头</w:t>
            </w:r>
          </w:p>
        </w:tc>
        <w:tc>
          <w:tcPr>
            <w:tcW w:w="1384" w:type="dxa"/>
            <w:vMerge w:val="continue"/>
          </w:tcPr>
          <w:p w14:paraId="5049B42B">
            <w:pPr>
              <w:rPr>
                <w:rFonts w:ascii="宋体" w:hAnsi="宋体"/>
                <w:szCs w:val="21"/>
              </w:rPr>
            </w:pPr>
          </w:p>
        </w:tc>
        <w:tc>
          <w:tcPr>
            <w:tcW w:w="2340" w:type="dxa"/>
            <w:vMerge w:val="continue"/>
            <w:vAlign w:val="center"/>
          </w:tcPr>
          <w:p w14:paraId="56957268">
            <w:pPr>
              <w:rPr>
                <w:rFonts w:ascii="宋体" w:hAnsi="宋体"/>
                <w:szCs w:val="21"/>
              </w:rPr>
            </w:pPr>
          </w:p>
        </w:tc>
        <w:tc>
          <w:tcPr>
            <w:tcW w:w="900" w:type="dxa"/>
            <w:vMerge w:val="continue"/>
            <w:vAlign w:val="center"/>
          </w:tcPr>
          <w:p w14:paraId="67E3706F">
            <w:pPr>
              <w:jc w:val="center"/>
              <w:rPr>
                <w:rFonts w:ascii="宋体" w:hAnsi="宋体"/>
                <w:szCs w:val="21"/>
              </w:rPr>
            </w:pPr>
          </w:p>
        </w:tc>
      </w:tr>
      <w:tr w14:paraId="3CF0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FBD17A2">
            <w:pPr>
              <w:rPr>
                <w:rFonts w:ascii="宋体" w:hAnsi="宋体"/>
                <w:szCs w:val="21"/>
              </w:rPr>
            </w:pPr>
            <w:r>
              <w:rPr>
                <w:rFonts w:ascii="宋体" w:hAnsi="宋体"/>
                <w:kern w:val="0"/>
                <w:szCs w:val="21"/>
              </w:rPr>
              <w:t>800～ 1600</w:t>
            </w:r>
          </w:p>
        </w:tc>
        <w:tc>
          <w:tcPr>
            <w:tcW w:w="567" w:type="dxa"/>
            <w:vAlign w:val="center"/>
          </w:tcPr>
          <w:p w14:paraId="7041ADA1">
            <w:pPr>
              <w:rPr>
                <w:rFonts w:ascii="宋体" w:hAnsi="宋体"/>
                <w:szCs w:val="21"/>
              </w:rPr>
            </w:pPr>
            <w:r>
              <w:rPr>
                <w:rFonts w:ascii="宋体" w:hAnsi="宋体"/>
                <w:szCs w:val="21"/>
              </w:rPr>
              <w:t>5</w:t>
            </w:r>
          </w:p>
        </w:tc>
        <w:tc>
          <w:tcPr>
            <w:tcW w:w="567" w:type="dxa"/>
            <w:vAlign w:val="center"/>
          </w:tcPr>
          <w:p w14:paraId="49D01C92">
            <w:pPr>
              <w:rPr>
                <w:rFonts w:ascii="宋体" w:hAnsi="宋体"/>
                <w:szCs w:val="21"/>
              </w:rPr>
            </w:pPr>
            <w:r>
              <w:rPr>
                <w:rFonts w:hint="eastAsia" w:ascii="宋体" w:hAnsi="宋体"/>
                <w:szCs w:val="21"/>
              </w:rPr>
              <w:t>6</w:t>
            </w:r>
          </w:p>
        </w:tc>
        <w:tc>
          <w:tcPr>
            <w:tcW w:w="525" w:type="dxa"/>
            <w:vAlign w:val="center"/>
          </w:tcPr>
          <w:p w14:paraId="6CB8FF37">
            <w:pPr>
              <w:rPr>
                <w:rFonts w:ascii="宋体" w:hAnsi="宋体"/>
                <w:szCs w:val="21"/>
              </w:rPr>
            </w:pPr>
            <w:r>
              <w:rPr>
                <w:rFonts w:hint="eastAsia" w:ascii="宋体" w:hAnsi="宋体"/>
                <w:szCs w:val="21"/>
              </w:rPr>
              <w:t>4</w:t>
            </w:r>
          </w:p>
        </w:tc>
        <w:tc>
          <w:tcPr>
            <w:tcW w:w="939" w:type="dxa"/>
            <w:vAlign w:val="center"/>
          </w:tcPr>
          <w:p w14:paraId="7AF35DD0">
            <w:pPr>
              <w:rPr>
                <w:rFonts w:ascii="宋体" w:hAnsi="宋体"/>
                <w:szCs w:val="21"/>
              </w:rPr>
            </w:pPr>
            <w:r>
              <w:rPr>
                <w:rFonts w:hint="eastAsia" w:ascii="宋体" w:hAnsi="宋体"/>
                <w:szCs w:val="21"/>
              </w:rPr>
              <w:t>5</w:t>
            </w:r>
          </w:p>
        </w:tc>
        <w:tc>
          <w:tcPr>
            <w:tcW w:w="1384" w:type="dxa"/>
            <w:vMerge w:val="continue"/>
          </w:tcPr>
          <w:p w14:paraId="071DA9AD">
            <w:pPr>
              <w:rPr>
                <w:rFonts w:ascii="宋体" w:hAnsi="宋体"/>
                <w:szCs w:val="21"/>
              </w:rPr>
            </w:pPr>
          </w:p>
        </w:tc>
        <w:tc>
          <w:tcPr>
            <w:tcW w:w="2340" w:type="dxa"/>
            <w:vMerge w:val="continue"/>
            <w:vAlign w:val="center"/>
          </w:tcPr>
          <w:p w14:paraId="48523CA4">
            <w:pPr>
              <w:rPr>
                <w:rFonts w:ascii="宋体" w:hAnsi="宋体"/>
                <w:szCs w:val="21"/>
              </w:rPr>
            </w:pPr>
          </w:p>
        </w:tc>
        <w:tc>
          <w:tcPr>
            <w:tcW w:w="900" w:type="dxa"/>
            <w:vMerge w:val="continue"/>
            <w:vAlign w:val="center"/>
          </w:tcPr>
          <w:p w14:paraId="12EBEFF9">
            <w:pPr>
              <w:jc w:val="center"/>
              <w:rPr>
                <w:rFonts w:ascii="宋体" w:hAnsi="宋体"/>
                <w:szCs w:val="21"/>
              </w:rPr>
            </w:pPr>
          </w:p>
        </w:tc>
      </w:tr>
      <w:tr w14:paraId="2A8F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467DDD0">
            <w:pPr>
              <w:rPr>
                <w:rFonts w:ascii="宋体" w:hAnsi="宋体"/>
                <w:szCs w:val="21"/>
              </w:rPr>
            </w:pPr>
            <w:r>
              <w:rPr>
                <w:rFonts w:ascii="宋体" w:hAnsi="宋体"/>
                <w:kern w:val="0"/>
                <w:szCs w:val="21"/>
              </w:rPr>
              <w:t>1601～ 2500</w:t>
            </w:r>
          </w:p>
        </w:tc>
        <w:tc>
          <w:tcPr>
            <w:tcW w:w="567" w:type="dxa"/>
            <w:vAlign w:val="center"/>
          </w:tcPr>
          <w:p w14:paraId="622AFB56">
            <w:pPr>
              <w:rPr>
                <w:rFonts w:ascii="宋体" w:hAnsi="宋体"/>
                <w:szCs w:val="21"/>
              </w:rPr>
            </w:pPr>
            <w:r>
              <w:rPr>
                <w:rFonts w:ascii="宋体" w:hAnsi="宋体"/>
                <w:szCs w:val="21"/>
              </w:rPr>
              <w:t>6</w:t>
            </w:r>
          </w:p>
        </w:tc>
        <w:tc>
          <w:tcPr>
            <w:tcW w:w="567" w:type="dxa"/>
            <w:vAlign w:val="center"/>
          </w:tcPr>
          <w:p w14:paraId="1DB9D756">
            <w:pPr>
              <w:rPr>
                <w:rFonts w:ascii="宋体" w:hAnsi="宋体"/>
                <w:szCs w:val="21"/>
              </w:rPr>
            </w:pPr>
            <w:r>
              <w:rPr>
                <w:rFonts w:hint="eastAsia" w:ascii="宋体" w:hAnsi="宋体"/>
                <w:szCs w:val="21"/>
              </w:rPr>
              <w:t>7</w:t>
            </w:r>
          </w:p>
        </w:tc>
        <w:tc>
          <w:tcPr>
            <w:tcW w:w="525" w:type="dxa"/>
            <w:vAlign w:val="center"/>
          </w:tcPr>
          <w:p w14:paraId="1343052E">
            <w:pPr>
              <w:rPr>
                <w:rFonts w:ascii="宋体" w:hAnsi="宋体"/>
                <w:szCs w:val="21"/>
              </w:rPr>
            </w:pPr>
            <w:r>
              <w:rPr>
                <w:rFonts w:hint="eastAsia" w:ascii="宋体" w:hAnsi="宋体"/>
                <w:szCs w:val="21"/>
              </w:rPr>
              <w:t>5</w:t>
            </w:r>
          </w:p>
        </w:tc>
        <w:tc>
          <w:tcPr>
            <w:tcW w:w="939" w:type="dxa"/>
            <w:vAlign w:val="center"/>
          </w:tcPr>
          <w:p w14:paraId="77A30751">
            <w:pPr>
              <w:rPr>
                <w:rFonts w:ascii="宋体" w:hAnsi="宋体"/>
                <w:szCs w:val="21"/>
              </w:rPr>
            </w:pPr>
            <w:r>
              <w:rPr>
                <w:rFonts w:hint="eastAsia" w:ascii="宋体" w:hAnsi="宋体"/>
                <w:szCs w:val="21"/>
              </w:rPr>
              <w:t>6</w:t>
            </w:r>
          </w:p>
        </w:tc>
        <w:tc>
          <w:tcPr>
            <w:tcW w:w="1384" w:type="dxa"/>
            <w:vMerge w:val="continue"/>
          </w:tcPr>
          <w:p w14:paraId="0DE109AD">
            <w:pPr>
              <w:rPr>
                <w:rFonts w:ascii="宋体" w:hAnsi="宋体"/>
                <w:szCs w:val="21"/>
              </w:rPr>
            </w:pPr>
          </w:p>
        </w:tc>
        <w:tc>
          <w:tcPr>
            <w:tcW w:w="2340" w:type="dxa"/>
            <w:vMerge w:val="continue"/>
            <w:vAlign w:val="center"/>
          </w:tcPr>
          <w:p w14:paraId="0EDABEA8">
            <w:pPr>
              <w:rPr>
                <w:rFonts w:ascii="宋体" w:hAnsi="宋体"/>
                <w:szCs w:val="21"/>
              </w:rPr>
            </w:pPr>
          </w:p>
        </w:tc>
        <w:tc>
          <w:tcPr>
            <w:tcW w:w="900" w:type="dxa"/>
            <w:vMerge w:val="continue"/>
            <w:vAlign w:val="center"/>
          </w:tcPr>
          <w:p w14:paraId="7898550F">
            <w:pPr>
              <w:jc w:val="center"/>
              <w:rPr>
                <w:rFonts w:ascii="宋体" w:hAnsi="宋体"/>
                <w:szCs w:val="21"/>
              </w:rPr>
            </w:pPr>
          </w:p>
        </w:tc>
      </w:tr>
      <w:tr w14:paraId="62CA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526" w:type="dxa"/>
            <w:vAlign w:val="center"/>
          </w:tcPr>
          <w:p w14:paraId="5248BE51">
            <w:pPr>
              <w:rPr>
                <w:rFonts w:ascii="宋体" w:hAnsi="宋体"/>
                <w:szCs w:val="21"/>
              </w:rPr>
            </w:pPr>
            <w:r>
              <w:rPr>
                <w:rFonts w:ascii="宋体" w:hAnsi="宋体"/>
                <w:kern w:val="0"/>
                <w:szCs w:val="21"/>
              </w:rPr>
              <w:t>2501～ 3000</w:t>
            </w:r>
          </w:p>
        </w:tc>
        <w:tc>
          <w:tcPr>
            <w:tcW w:w="567" w:type="dxa"/>
            <w:vAlign w:val="center"/>
          </w:tcPr>
          <w:p w14:paraId="2314388F">
            <w:pPr>
              <w:rPr>
                <w:rFonts w:ascii="宋体" w:hAnsi="宋体"/>
                <w:szCs w:val="21"/>
              </w:rPr>
            </w:pPr>
            <w:r>
              <w:rPr>
                <w:rFonts w:ascii="宋体" w:hAnsi="宋体"/>
                <w:szCs w:val="21"/>
              </w:rPr>
              <w:t>7</w:t>
            </w:r>
          </w:p>
        </w:tc>
        <w:tc>
          <w:tcPr>
            <w:tcW w:w="567" w:type="dxa"/>
            <w:vAlign w:val="center"/>
          </w:tcPr>
          <w:p w14:paraId="309BA185">
            <w:pPr>
              <w:rPr>
                <w:rFonts w:ascii="宋体" w:hAnsi="宋体"/>
                <w:szCs w:val="21"/>
              </w:rPr>
            </w:pPr>
            <w:r>
              <w:rPr>
                <w:rFonts w:hint="eastAsia" w:ascii="宋体" w:hAnsi="宋体"/>
                <w:szCs w:val="21"/>
              </w:rPr>
              <w:t>8</w:t>
            </w:r>
          </w:p>
        </w:tc>
        <w:tc>
          <w:tcPr>
            <w:tcW w:w="525" w:type="dxa"/>
            <w:vAlign w:val="center"/>
          </w:tcPr>
          <w:p w14:paraId="2E913196">
            <w:pPr>
              <w:rPr>
                <w:rFonts w:ascii="宋体" w:hAnsi="宋体"/>
                <w:szCs w:val="21"/>
              </w:rPr>
            </w:pPr>
            <w:r>
              <w:rPr>
                <w:rFonts w:hint="eastAsia" w:ascii="宋体" w:hAnsi="宋体"/>
                <w:szCs w:val="21"/>
              </w:rPr>
              <w:t>5</w:t>
            </w:r>
          </w:p>
        </w:tc>
        <w:tc>
          <w:tcPr>
            <w:tcW w:w="939" w:type="dxa"/>
            <w:vAlign w:val="center"/>
          </w:tcPr>
          <w:p w14:paraId="55637078">
            <w:pPr>
              <w:rPr>
                <w:rFonts w:ascii="宋体" w:hAnsi="宋体"/>
                <w:szCs w:val="21"/>
              </w:rPr>
            </w:pPr>
            <w:r>
              <w:rPr>
                <w:rFonts w:hint="eastAsia" w:ascii="宋体" w:hAnsi="宋体"/>
                <w:szCs w:val="21"/>
              </w:rPr>
              <w:t>6</w:t>
            </w:r>
          </w:p>
        </w:tc>
        <w:tc>
          <w:tcPr>
            <w:tcW w:w="1384" w:type="dxa"/>
            <w:vMerge w:val="continue"/>
          </w:tcPr>
          <w:p w14:paraId="089B07C5">
            <w:pPr>
              <w:rPr>
                <w:rFonts w:ascii="宋体" w:hAnsi="宋体"/>
                <w:szCs w:val="21"/>
              </w:rPr>
            </w:pPr>
          </w:p>
        </w:tc>
        <w:tc>
          <w:tcPr>
            <w:tcW w:w="2340" w:type="dxa"/>
            <w:vMerge w:val="continue"/>
            <w:vAlign w:val="center"/>
          </w:tcPr>
          <w:p w14:paraId="3E485EE7">
            <w:pPr>
              <w:rPr>
                <w:rFonts w:ascii="宋体" w:hAnsi="宋体"/>
                <w:szCs w:val="21"/>
              </w:rPr>
            </w:pPr>
          </w:p>
        </w:tc>
        <w:tc>
          <w:tcPr>
            <w:tcW w:w="900" w:type="dxa"/>
            <w:vMerge w:val="continue"/>
            <w:vAlign w:val="center"/>
          </w:tcPr>
          <w:p w14:paraId="1671ACDE">
            <w:pPr>
              <w:jc w:val="center"/>
              <w:rPr>
                <w:rFonts w:ascii="宋体" w:hAnsi="宋体"/>
                <w:szCs w:val="21"/>
              </w:rPr>
            </w:pPr>
          </w:p>
        </w:tc>
      </w:tr>
      <w:tr w14:paraId="14B7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FF2A94B">
            <w:pPr>
              <w:rPr>
                <w:rFonts w:ascii="宋体" w:hAnsi="宋体"/>
                <w:szCs w:val="21"/>
              </w:rPr>
            </w:pPr>
            <w:r>
              <w:rPr>
                <w:rFonts w:ascii="宋体" w:hAnsi="宋体"/>
                <w:kern w:val="0"/>
                <w:szCs w:val="21"/>
              </w:rPr>
              <w:t>钢制油罐的设计内压不应低于0.08MPa。</w:t>
            </w:r>
          </w:p>
        </w:tc>
        <w:tc>
          <w:tcPr>
            <w:tcW w:w="1384" w:type="dxa"/>
            <w:vMerge w:val="continue"/>
          </w:tcPr>
          <w:p w14:paraId="6BBA6744">
            <w:pPr>
              <w:rPr>
                <w:rFonts w:ascii="宋体" w:hAnsi="宋体"/>
                <w:szCs w:val="21"/>
              </w:rPr>
            </w:pPr>
          </w:p>
        </w:tc>
        <w:tc>
          <w:tcPr>
            <w:tcW w:w="2340" w:type="dxa"/>
            <w:vAlign w:val="center"/>
          </w:tcPr>
          <w:p w14:paraId="45091E0E">
            <w:pPr>
              <w:rPr>
                <w:rFonts w:ascii="宋体" w:hAnsi="宋体"/>
                <w:szCs w:val="21"/>
              </w:rPr>
            </w:pPr>
            <w:r>
              <w:rPr>
                <w:rFonts w:hint="eastAsia" w:ascii="宋体" w:hAnsi="宋体"/>
                <w:szCs w:val="21"/>
              </w:rPr>
              <w:t>压力</w:t>
            </w:r>
            <w:r>
              <w:rPr>
                <w:rFonts w:hint="eastAsia" w:ascii="宋体" w:hAnsi="宋体"/>
                <w:kern w:val="0"/>
                <w:szCs w:val="21"/>
              </w:rPr>
              <w:t>大于</w:t>
            </w:r>
            <w:r>
              <w:rPr>
                <w:rFonts w:ascii="宋体" w:hAnsi="宋体"/>
                <w:kern w:val="0"/>
                <w:szCs w:val="21"/>
              </w:rPr>
              <w:t>0.08MPa</w:t>
            </w:r>
          </w:p>
        </w:tc>
        <w:tc>
          <w:tcPr>
            <w:tcW w:w="900" w:type="dxa"/>
            <w:vAlign w:val="center"/>
          </w:tcPr>
          <w:p w14:paraId="3832B138">
            <w:pPr>
              <w:jc w:val="center"/>
              <w:rPr>
                <w:rFonts w:ascii="宋体" w:hAnsi="宋体"/>
                <w:szCs w:val="21"/>
              </w:rPr>
            </w:pPr>
            <w:r>
              <w:rPr>
                <w:rFonts w:hint="eastAsia" w:ascii="宋体" w:hAnsi="宋体"/>
                <w:szCs w:val="21"/>
              </w:rPr>
              <w:t>符合</w:t>
            </w:r>
          </w:p>
        </w:tc>
      </w:tr>
      <w:tr w14:paraId="1E00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5826EAF">
            <w:pPr>
              <w:rPr>
                <w:rFonts w:ascii="宋体" w:hAnsi="宋体"/>
                <w:szCs w:val="21"/>
              </w:rPr>
            </w:pPr>
            <w:r>
              <w:rPr>
                <w:rFonts w:hint="eastAsia" w:ascii="宋体" w:hAnsi="宋体"/>
                <w:szCs w:val="21"/>
              </w:rPr>
              <w:t>选用的双层</w:t>
            </w:r>
            <w:r>
              <w:rPr>
                <w:rFonts w:ascii="宋体" w:hAnsi="宋体"/>
                <w:kern w:val="0"/>
                <w:szCs w:val="21"/>
              </w:rPr>
              <w:t>玻璃纤维</w:t>
            </w:r>
            <w:r>
              <w:rPr>
                <w:rFonts w:hint="eastAsia" w:ascii="宋体" w:hAnsi="宋体"/>
                <w:kern w:val="0"/>
                <w:szCs w:val="21"/>
              </w:rPr>
              <w:t>增强</w:t>
            </w:r>
            <w:r>
              <w:rPr>
                <w:rFonts w:ascii="宋体" w:hAnsi="宋体"/>
                <w:kern w:val="0"/>
                <w:szCs w:val="21"/>
              </w:rPr>
              <w:t>塑料油罐</w:t>
            </w:r>
            <w:r>
              <w:rPr>
                <w:rFonts w:hint="eastAsia" w:ascii="宋体" w:hAnsi="宋体"/>
                <w:kern w:val="0"/>
                <w:szCs w:val="21"/>
              </w:rPr>
              <w:t>应符合现行行业标准《加油站用埋地玻璃纤维增强</w:t>
            </w:r>
            <w:r>
              <w:rPr>
                <w:rFonts w:ascii="宋体" w:hAnsi="宋体"/>
                <w:kern w:val="0"/>
                <w:szCs w:val="21"/>
              </w:rPr>
              <w:t>塑料</w:t>
            </w:r>
            <w:r>
              <w:rPr>
                <w:rFonts w:hint="eastAsia" w:ascii="宋体" w:hAnsi="宋体"/>
                <w:kern w:val="0"/>
                <w:szCs w:val="21"/>
              </w:rPr>
              <w:t>双层油罐工程技术规范》SH/T3177的油罐规定。选用的钢</w:t>
            </w:r>
            <w:r>
              <w:rPr>
                <w:rFonts w:ascii="宋体" w:hAnsi="宋体"/>
                <w:kern w:val="0"/>
                <w:szCs w:val="21"/>
              </w:rPr>
              <w:t>—</w:t>
            </w:r>
            <w:r>
              <w:rPr>
                <w:rFonts w:hint="eastAsia" w:ascii="宋体" w:hAnsi="宋体"/>
                <w:kern w:val="0"/>
                <w:szCs w:val="21"/>
              </w:rPr>
              <w:t>玻璃纤维增强塑料双层油罐应符合现行行业标准《加油站用埋地钢</w:t>
            </w:r>
            <w:r>
              <w:rPr>
                <w:rFonts w:ascii="宋体" w:hAnsi="宋体"/>
                <w:kern w:val="0"/>
                <w:szCs w:val="21"/>
              </w:rPr>
              <w:t>—</w:t>
            </w:r>
            <w:r>
              <w:rPr>
                <w:rFonts w:hint="eastAsia" w:ascii="宋体" w:hAnsi="宋体"/>
                <w:kern w:val="0"/>
                <w:szCs w:val="21"/>
              </w:rPr>
              <w:t>玻璃纤维增强塑料双层油罐工程技术规范》 SH/T3178的油罐规定</w:t>
            </w:r>
          </w:p>
        </w:tc>
        <w:tc>
          <w:tcPr>
            <w:tcW w:w="1384" w:type="dxa"/>
            <w:vMerge w:val="continue"/>
          </w:tcPr>
          <w:p w14:paraId="465A3488">
            <w:pPr>
              <w:rPr>
                <w:rFonts w:ascii="宋体" w:hAnsi="宋体"/>
                <w:szCs w:val="21"/>
              </w:rPr>
            </w:pPr>
          </w:p>
        </w:tc>
        <w:tc>
          <w:tcPr>
            <w:tcW w:w="2340" w:type="dxa"/>
            <w:vAlign w:val="center"/>
          </w:tcPr>
          <w:p w14:paraId="4E85E4EA">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hint="eastAsia" w:ascii="宋体" w:hAnsi="宋体"/>
                <w:kern w:val="0"/>
                <w:szCs w:val="21"/>
              </w:rPr>
              <w:t>，有油罐检测报告，符合相关要求</w:t>
            </w:r>
          </w:p>
        </w:tc>
        <w:tc>
          <w:tcPr>
            <w:tcW w:w="900" w:type="dxa"/>
            <w:vAlign w:val="center"/>
          </w:tcPr>
          <w:p w14:paraId="1A47C5CB">
            <w:pPr>
              <w:jc w:val="center"/>
              <w:rPr>
                <w:rFonts w:ascii="宋体" w:hAnsi="宋体"/>
                <w:szCs w:val="21"/>
              </w:rPr>
            </w:pPr>
            <w:r>
              <w:rPr>
                <w:rFonts w:hint="eastAsia" w:ascii="宋体" w:hAnsi="宋体"/>
                <w:szCs w:val="21"/>
              </w:rPr>
              <w:t>符合</w:t>
            </w:r>
          </w:p>
        </w:tc>
      </w:tr>
      <w:tr w14:paraId="6B07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0299C54">
            <w:pPr>
              <w:rPr>
                <w:rFonts w:ascii="宋体" w:hAnsi="宋体"/>
                <w:szCs w:val="21"/>
              </w:rPr>
            </w:pPr>
            <w:r>
              <w:rPr>
                <w:rFonts w:hint="eastAsia" w:ascii="宋体" w:hAnsi="宋体"/>
                <w:szCs w:val="21"/>
              </w:rPr>
              <w:t>双层油罐内壁与外壁之间应满足渗漏检测要求的贯通间隙。</w:t>
            </w:r>
          </w:p>
        </w:tc>
        <w:tc>
          <w:tcPr>
            <w:tcW w:w="1384" w:type="dxa"/>
            <w:vMerge w:val="continue"/>
          </w:tcPr>
          <w:p w14:paraId="314A8DBF">
            <w:pPr>
              <w:rPr>
                <w:rFonts w:ascii="宋体" w:hAnsi="宋体"/>
                <w:szCs w:val="21"/>
              </w:rPr>
            </w:pPr>
          </w:p>
        </w:tc>
        <w:tc>
          <w:tcPr>
            <w:tcW w:w="2340" w:type="dxa"/>
            <w:vAlign w:val="center"/>
          </w:tcPr>
          <w:p w14:paraId="320E8F5B">
            <w:pPr>
              <w:rPr>
                <w:rFonts w:ascii="宋体" w:hAnsi="宋体"/>
                <w:szCs w:val="21"/>
              </w:rPr>
            </w:pPr>
            <w:r>
              <w:rPr>
                <w:rFonts w:hint="eastAsia" w:ascii="宋体" w:hAnsi="宋体"/>
                <w:szCs w:val="21"/>
              </w:rPr>
              <w:t>间隙为0.1mm</w:t>
            </w:r>
          </w:p>
        </w:tc>
        <w:tc>
          <w:tcPr>
            <w:tcW w:w="900" w:type="dxa"/>
            <w:vAlign w:val="center"/>
          </w:tcPr>
          <w:p w14:paraId="38591421">
            <w:pPr>
              <w:jc w:val="center"/>
              <w:rPr>
                <w:rFonts w:ascii="宋体" w:hAnsi="宋体"/>
                <w:szCs w:val="21"/>
              </w:rPr>
            </w:pPr>
            <w:r>
              <w:rPr>
                <w:rFonts w:hint="eastAsia" w:ascii="宋体" w:hAnsi="宋体"/>
                <w:szCs w:val="21"/>
              </w:rPr>
              <w:t>符合</w:t>
            </w:r>
          </w:p>
        </w:tc>
      </w:tr>
      <w:tr w14:paraId="297F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0811133">
            <w:pPr>
              <w:rPr>
                <w:rFonts w:ascii="宋体" w:hAnsi="宋体"/>
                <w:szCs w:val="21"/>
              </w:rPr>
            </w:pPr>
            <w:r>
              <w:rPr>
                <w:rFonts w:hint="eastAsia" w:ascii="宋体" w:hAnsi="宋体"/>
                <w:szCs w:val="21"/>
              </w:rPr>
              <w:t>安装在罐内的景点消除物体应接地，接地电阻应符合本标准第11.2节的有关规定。</w:t>
            </w:r>
          </w:p>
        </w:tc>
        <w:tc>
          <w:tcPr>
            <w:tcW w:w="1384" w:type="dxa"/>
            <w:vMerge w:val="continue"/>
          </w:tcPr>
          <w:p w14:paraId="62EC3258">
            <w:pPr>
              <w:rPr>
                <w:rFonts w:ascii="宋体" w:hAnsi="宋体"/>
                <w:szCs w:val="21"/>
              </w:rPr>
            </w:pPr>
          </w:p>
        </w:tc>
        <w:tc>
          <w:tcPr>
            <w:tcW w:w="2340" w:type="dxa"/>
            <w:vAlign w:val="center"/>
          </w:tcPr>
          <w:p w14:paraId="760E468C">
            <w:pPr>
              <w:rPr>
                <w:rFonts w:ascii="宋体" w:hAnsi="宋体"/>
                <w:szCs w:val="21"/>
              </w:rPr>
            </w:pPr>
            <w:r>
              <w:rPr>
                <w:rFonts w:hint="eastAsia" w:ascii="宋体" w:hAnsi="宋体"/>
                <w:szCs w:val="21"/>
              </w:rPr>
              <w:t>符合要求</w:t>
            </w:r>
          </w:p>
        </w:tc>
        <w:tc>
          <w:tcPr>
            <w:tcW w:w="900" w:type="dxa"/>
            <w:vAlign w:val="center"/>
          </w:tcPr>
          <w:p w14:paraId="6FFFE596">
            <w:pPr>
              <w:jc w:val="center"/>
              <w:rPr>
                <w:rFonts w:ascii="宋体" w:hAnsi="宋体"/>
                <w:szCs w:val="21"/>
              </w:rPr>
            </w:pPr>
            <w:r>
              <w:rPr>
                <w:rFonts w:hint="eastAsia" w:ascii="宋体" w:hAnsi="宋体"/>
                <w:szCs w:val="21"/>
              </w:rPr>
              <w:t>符合</w:t>
            </w:r>
          </w:p>
        </w:tc>
      </w:tr>
      <w:tr w14:paraId="1A3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3AB1384">
            <w:pPr>
              <w:rPr>
                <w:rFonts w:ascii="宋体" w:hAnsi="宋体"/>
                <w:szCs w:val="21"/>
              </w:rPr>
            </w:pPr>
            <w:r>
              <w:rPr>
                <w:rFonts w:ascii="宋体" w:hAnsi="宋体"/>
                <w:kern w:val="0"/>
                <w:szCs w:val="21"/>
              </w:rPr>
              <w:t>油罐应采用钢制人孔盖。</w:t>
            </w:r>
          </w:p>
        </w:tc>
        <w:tc>
          <w:tcPr>
            <w:tcW w:w="1384" w:type="dxa"/>
            <w:vMerge w:val="continue"/>
          </w:tcPr>
          <w:p w14:paraId="418E611E">
            <w:pPr>
              <w:rPr>
                <w:rFonts w:ascii="宋体" w:hAnsi="宋体"/>
                <w:szCs w:val="21"/>
              </w:rPr>
            </w:pPr>
          </w:p>
        </w:tc>
        <w:tc>
          <w:tcPr>
            <w:tcW w:w="2340" w:type="dxa"/>
            <w:vAlign w:val="center"/>
          </w:tcPr>
          <w:p w14:paraId="3504B580">
            <w:pPr>
              <w:rPr>
                <w:rFonts w:ascii="宋体" w:hAnsi="宋体"/>
                <w:szCs w:val="21"/>
              </w:rPr>
            </w:pPr>
            <w:r>
              <w:rPr>
                <w:rFonts w:ascii="宋体" w:hAnsi="宋体"/>
                <w:kern w:val="0"/>
                <w:szCs w:val="21"/>
              </w:rPr>
              <w:t>采用钢制人孔盖</w:t>
            </w:r>
          </w:p>
        </w:tc>
        <w:tc>
          <w:tcPr>
            <w:tcW w:w="900" w:type="dxa"/>
            <w:vAlign w:val="center"/>
          </w:tcPr>
          <w:p w14:paraId="14C12A01">
            <w:pPr>
              <w:jc w:val="center"/>
              <w:rPr>
                <w:rFonts w:ascii="宋体" w:hAnsi="宋体"/>
                <w:szCs w:val="21"/>
              </w:rPr>
            </w:pPr>
            <w:r>
              <w:rPr>
                <w:rFonts w:hint="eastAsia" w:ascii="宋体" w:hAnsi="宋体"/>
                <w:szCs w:val="21"/>
              </w:rPr>
              <w:t>符合</w:t>
            </w:r>
          </w:p>
        </w:tc>
      </w:tr>
      <w:tr w14:paraId="5FA8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13DAED7">
            <w:pPr>
              <w:rPr>
                <w:rFonts w:ascii="宋体" w:hAnsi="宋体"/>
                <w:kern w:val="0"/>
                <w:szCs w:val="21"/>
              </w:rPr>
            </w:pPr>
            <w:r>
              <w:rPr>
                <w:rFonts w:ascii="宋体" w:hAnsi="宋体"/>
                <w:kern w:val="0"/>
                <w:szCs w:val="21"/>
              </w:rPr>
              <w:t>油罐设在非车行道下面时，罐顶的覆土厚度不应小于0.5m；设在车行道下面时，罐顶低于路面不宜小于0.9m。钢制油罐的周围应回填中性沙或细土，其厚度不应小于0.3m；外层为玻璃纤维增强塑料材料的油罐，其回填料应符合产品说明书的要求</w:t>
            </w:r>
          </w:p>
        </w:tc>
        <w:tc>
          <w:tcPr>
            <w:tcW w:w="1384" w:type="dxa"/>
            <w:vMerge w:val="continue"/>
          </w:tcPr>
          <w:p w14:paraId="24836CF0">
            <w:pPr>
              <w:rPr>
                <w:rFonts w:ascii="宋体" w:hAnsi="宋体"/>
                <w:szCs w:val="21"/>
              </w:rPr>
            </w:pPr>
          </w:p>
        </w:tc>
        <w:tc>
          <w:tcPr>
            <w:tcW w:w="2340" w:type="dxa"/>
            <w:vAlign w:val="center"/>
          </w:tcPr>
          <w:p w14:paraId="715849A8">
            <w:pPr>
              <w:rPr>
                <w:rFonts w:ascii="宋体" w:hAnsi="宋体"/>
                <w:szCs w:val="21"/>
              </w:rPr>
            </w:pPr>
            <w:r>
              <w:rPr>
                <w:rFonts w:ascii="宋体" w:hAnsi="宋体"/>
                <w:kern w:val="0"/>
                <w:szCs w:val="21"/>
              </w:rPr>
              <w:t>罐顶的覆土厚度不应小于0.5m</w:t>
            </w:r>
          </w:p>
        </w:tc>
        <w:tc>
          <w:tcPr>
            <w:tcW w:w="900" w:type="dxa"/>
            <w:vAlign w:val="center"/>
          </w:tcPr>
          <w:p w14:paraId="4608F33B">
            <w:pPr>
              <w:jc w:val="center"/>
              <w:rPr>
                <w:rFonts w:ascii="宋体" w:hAnsi="宋体"/>
                <w:szCs w:val="21"/>
              </w:rPr>
            </w:pPr>
            <w:r>
              <w:rPr>
                <w:rFonts w:hint="eastAsia" w:ascii="宋体" w:hAnsi="宋体"/>
                <w:szCs w:val="21"/>
              </w:rPr>
              <w:t>符合</w:t>
            </w:r>
          </w:p>
        </w:tc>
      </w:tr>
      <w:tr w14:paraId="321C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63FC9973">
            <w:pPr>
              <w:rPr>
                <w:rFonts w:ascii="宋体" w:hAnsi="宋体"/>
                <w:kern w:val="0"/>
                <w:szCs w:val="21"/>
              </w:rPr>
            </w:pPr>
            <w:r>
              <w:rPr>
                <w:rFonts w:ascii="宋体" w:hAnsi="宋体"/>
                <w:kern w:val="0"/>
                <w:szCs w:val="21"/>
              </w:rPr>
              <w:t>当埋地油罐受地下水或雨水作用有上浮的可能时，应采取防止油罐上浮的措施。</w:t>
            </w:r>
          </w:p>
        </w:tc>
        <w:tc>
          <w:tcPr>
            <w:tcW w:w="1384" w:type="dxa"/>
            <w:vMerge w:val="continue"/>
          </w:tcPr>
          <w:p w14:paraId="113A0D63">
            <w:pPr>
              <w:rPr>
                <w:rFonts w:ascii="宋体" w:hAnsi="宋体"/>
                <w:szCs w:val="21"/>
              </w:rPr>
            </w:pPr>
          </w:p>
        </w:tc>
        <w:tc>
          <w:tcPr>
            <w:tcW w:w="2340" w:type="dxa"/>
            <w:vAlign w:val="center"/>
          </w:tcPr>
          <w:p w14:paraId="4FDA3E6D">
            <w:pPr>
              <w:rPr>
                <w:rFonts w:ascii="宋体" w:hAnsi="宋体"/>
                <w:szCs w:val="21"/>
              </w:rPr>
            </w:pPr>
            <w:r>
              <w:rPr>
                <w:rFonts w:hint="eastAsia" w:ascii="宋体" w:hAnsi="宋体"/>
                <w:szCs w:val="21"/>
              </w:rPr>
              <w:t>采用防上浮措施</w:t>
            </w:r>
          </w:p>
        </w:tc>
        <w:tc>
          <w:tcPr>
            <w:tcW w:w="900" w:type="dxa"/>
            <w:vAlign w:val="center"/>
          </w:tcPr>
          <w:p w14:paraId="1EC78FE2">
            <w:pPr>
              <w:jc w:val="center"/>
              <w:rPr>
                <w:rFonts w:ascii="宋体" w:hAnsi="宋体"/>
                <w:szCs w:val="21"/>
              </w:rPr>
            </w:pPr>
            <w:r>
              <w:rPr>
                <w:rFonts w:hint="eastAsia" w:ascii="宋体" w:hAnsi="宋体"/>
                <w:szCs w:val="21"/>
              </w:rPr>
              <w:t>符合</w:t>
            </w:r>
          </w:p>
        </w:tc>
      </w:tr>
      <w:tr w14:paraId="5CFD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3DE47C3">
            <w:pPr>
              <w:rPr>
                <w:rFonts w:ascii="宋体" w:hAnsi="宋体"/>
                <w:kern w:val="0"/>
                <w:szCs w:val="21"/>
              </w:rPr>
            </w:pPr>
            <w:r>
              <w:rPr>
                <w:rFonts w:ascii="宋体" w:hAnsi="宋体"/>
                <w:kern w:val="0"/>
                <w:szCs w:val="21"/>
              </w:rPr>
              <w:t>埋地油罐的人孔应设操作井。设在行车道下面的人孔井应采用加油站车行道下专用的密闭井盖和井座。</w:t>
            </w:r>
          </w:p>
        </w:tc>
        <w:tc>
          <w:tcPr>
            <w:tcW w:w="1384" w:type="dxa"/>
            <w:vMerge w:val="continue"/>
          </w:tcPr>
          <w:p w14:paraId="4AC769DD">
            <w:pPr>
              <w:rPr>
                <w:rFonts w:ascii="宋体" w:hAnsi="宋体"/>
                <w:szCs w:val="21"/>
              </w:rPr>
            </w:pPr>
          </w:p>
        </w:tc>
        <w:tc>
          <w:tcPr>
            <w:tcW w:w="2340" w:type="dxa"/>
            <w:vAlign w:val="center"/>
          </w:tcPr>
          <w:p w14:paraId="09EA42E2">
            <w:pPr>
              <w:rPr>
                <w:rFonts w:ascii="宋体" w:hAnsi="宋体"/>
                <w:szCs w:val="21"/>
              </w:rPr>
            </w:pPr>
            <w:r>
              <w:rPr>
                <w:rFonts w:ascii="宋体" w:hAnsi="宋体"/>
                <w:kern w:val="0"/>
                <w:szCs w:val="21"/>
              </w:rPr>
              <w:t>设在行车道下</w:t>
            </w:r>
          </w:p>
        </w:tc>
        <w:tc>
          <w:tcPr>
            <w:tcW w:w="900" w:type="dxa"/>
            <w:vAlign w:val="center"/>
          </w:tcPr>
          <w:p w14:paraId="7A16D36C">
            <w:pPr>
              <w:jc w:val="center"/>
              <w:rPr>
                <w:rFonts w:ascii="宋体" w:hAnsi="宋体"/>
                <w:szCs w:val="21"/>
              </w:rPr>
            </w:pPr>
            <w:r>
              <w:rPr>
                <w:rFonts w:hint="eastAsia" w:ascii="宋体" w:hAnsi="宋体"/>
                <w:szCs w:val="21"/>
              </w:rPr>
              <w:t>符合</w:t>
            </w:r>
          </w:p>
        </w:tc>
      </w:tr>
      <w:tr w14:paraId="3E1E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4B90DDC">
            <w:pPr>
              <w:rPr>
                <w:rFonts w:ascii="宋体" w:hAnsi="宋体"/>
                <w:kern w:val="0"/>
                <w:szCs w:val="21"/>
              </w:rPr>
            </w:pPr>
            <w:r>
              <w:rPr>
                <w:rFonts w:ascii="宋体" w:hAnsi="宋体"/>
                <w:kern w:val="0"/>
                <w:szCs w:val="21"/>
              </w:rPr>
              <w:t>油罐应采取卸油时的防满溢措施。油料达到油罐容量90%时，应能触动高液位报警装置，油料达到油罐容量95%时，应能自动停止油料继续进罐。</w:t>
            </w:r>
          </w:p>
        </w:tc>
        <w:tc>
          <w:tcPr>
            <w:tcW w:w="1384" w:type="dxa"/>
            <w:vMerge w:val="continue"/>
          </w:tcPr>
          <w:p w14:paraId="21A91973">
            <w:pPr>
              <w:rPr>
                <w:rFonts w:ascii="宋体" w:hAnsi="宋体"/>
                <w:szCs w:val="21"/>
              </w:rPr>
            </w:pPr>
          </w:p>
        </w:tc>
        <w:tc>
          <w:tcPr>
            <w:tcW w:w="2340" w:type="dxa"/>
            <w:vAlign w:val="center"/>
          </w:tcPr>
          <w:p w14:paraId="4A723471">
            <w:pPr>
              <w:rPr>
                <w:rFonts w:ascii="宋体" w:hAnsi="宋体"/>
                <w:kern w:val="0"/>
                <w:szCs w:val="21"/>
              </w:rPr>
            </w:pPr>
            <w:r>
              <w:rPr>
                <w:rFonts w:ascii="宋体" w:hAnsi="宋体"/>
                <w:kern w:val="0"/>
                <w:szCs w:val="21"/>
              </w:rPr>
              <w:t>设置高液位报警装置。</w:t>
            </w:r>
          </w:p>
        </w:tc>
        <w:tc>
          <w:tcPr>
            <w:tcW w:w="900" w:type="dxa"/>
            <w:vAlign w:val="center"/>
          </w:tcPr>
          <w:p w14:paraId="36825968">
            <w:pPr>
              <w:jc w:val="center"/>
              <w:rPr>
                <w:rFonts w:ascii="宋体" w:hAnsi="宋体"/>
                <w:szCs w:val="21"/>
              </w:rPr>
            </w:pPr>
            <w:r>
              <w:rPr>
                <w:rFonts w:hint="eastAsia" w:ascii="宋体" w:hAnsi="宋体"/>
                <w:szCs w:val="21"/>
              </w:rPr>
              <w:t>符合</w:t>
            </w:r>
          </w:p>
        </w:tc>
      </w:tr>
      <w:tr w14:paraId="7050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511C9C8D">
            <w:pPr>
              <w:rPr>
                <w:rFonts w:ascii="宋体" w:hAnsi="宋体"/>
                <w:kern w:val="0"/>
                <w:szCs w:val="21"/>
              </w:rPr>
            </w:pPr>
            <w:r>
              <w:rPr>
                <w:rFonts w:ascii="宋体" w:hAnsi="宋体"/>
                <w:kern w:val="0"/>
                <w:szCs w:val="21"/>
              </w:rPr>
              <w:t>有油气回收系统的加油</w:t>
            </w:r>
            <w:r>
              <w:rPr>
                <w:rFonts w:hint="eastAsia" w:ascii="宋体" w:hAnsi="宋体"/>
                <w:kern w:val="0"/>
                <w:szCs w:val="21"/>
              </w:rPr>
              <w:t>加</w:t>
            </w:r>
            <w:r>
              <w:rPr>
                <w:rFonts w:ascii="宋体" w:hAnsi="宋体"/>
                <w:kern w:val="0"/>
                <w:szCs w:val="21"/>
              </w:rPr>
              <w:t>气站，其站内油罐应设带有高液位报警功能的液位监测系统。单层油罐的液位监测系统尚应具备渗漏检测功能，其渗漏监测分辨率不宜大于0.8L/h.</w:t>
            </w:r>
          </w:p>
        </w:tc>
        <w:tc>
          <w:tcPr>
            <w:tcW w:w="1384" w:type="dxa"/>
            <w:vMerge w:val="continue"/>
          </w:tcPr>
          <w:p w14:paraId="71633CB2">
            <w:pPr>
              <w:rPr>
                <w:rFonts w:ascii="宋体" w:hAnsi="宋体"/>
                <w:szCs w:val="21"/>
              </w:rPr>
            </w:pPr>
          </w:p>
        </w:tc>
        <w:tc>
          <w:tcPr>
            <w:tcW w:w="2340" w:type="dxa"/>
            <w:vAlign w:val="center"/>
          </w:tcPr>
          <w:p w14:paraId="200FC948">
            <w:pPr>
              <w:rPr>
                <w:rFonts w:ascii="宋体" w:hAnsi="宋体"/>
                <w:kern w:val="0"/>
                <w:szCs w:val="21"/>
              </w:rPr>
            </w:pPr>
            <w:r>
              <w:rPr>
                <w:rFonts w:hint="eastAsia" w:ascii="宋体" w:hAnsi="宋体"/>
                <w:kern w:val="0"/>
                <w:szCs w:val="21"/>
              </w:rPr>
              <w:t>设置了油气回收系统。</w:t>
            </w:r>
          </w:p>
        </w:tc>
        <w:tc>
          <w:tcPr>
            <w:tcW w:w="900" w:type="dxa"/>
            <w:vAlign w:val="center"/>
          </w:tcPr>
          <w:p w14:paraId="4BBB3E96">
            <w:pPr>
              <w:jc w:val="center"/>
              <w:rPr>
                <w:rFonts w:ascii="宋体" w:hAnsi="宋体"/>
                <w:szCs w:val="21"/>
              </w:rPr>
            </w:pPr>
            <w:r>
              <w:rPr>
                <w:rFonts w:hint="eastAsia" w:ascii="宋体" w:hAnsi="宋体"/>
                <w:szCs w:val="21"/>
              </w:rPr>
              <w:t>符合</w:t>
            </w:r>
          </w:p>
        </w:tc>
      </w:tr>
      <w:tr w14:paraId="5770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08DB107">
            <w:pPr>
              <w:rPr>
                <w:rFonts w:ascii="宋体" w:hAnsi="宋体"/>
                <w:kern w:val="0"/>
                <w:szCs w:val="21"/>
              </w:rPr>
            </w:pPr>
            <w:r>
              <w:rPr>
                <w:rFonts w:ascii="宋体" w:hAnsi="宋体"/>
                <w:kern w:val="0"/>
                <w:szCs w:val="21"/>
              </w:rPr>
              <w:t>与土壤接触的钢制油罐外表面，其防腐设计应符合现行行业标准《石油化工设备和管道涂料防腐蚀技术规范》SH 3022 的有关规定，且防腐等级不应低于加强级。</w:t>
            </w:r>
          </w:p>
        </w:tc>
        <w:tc>
          <w:tcPr>
            <w:tcW w:w="1384" w:type="dxa"/>
            <w:vMerge w:val="continue"/>
          </w:tcPr>
          <w:p w14:paraId="22AA0805">
            <w:pPr>
              <w:rPr>
                <w:rFonts w:ascii="宋体" w:hAnsi="宋体"/>
                <w:szCs w:val="21"/>
              </w:rPr>
            </w:pPr>
          </w:p>
        </w:tc>
        <w:tc>
          <w:tcPr>
            <w:tcW w:w="2340" w:type="dxa"/>
            <w:vAlign w:val="center"/>
          </w:tcPr>
          <w:p w14:paraId="0EDD1007">
            <w:pPr>
              <w:rPr>
                <w:rFonts w:ascii="宋体" w:hAnsi="宋体"/>
                <w:szCs w:val="21"/>
              </w:rPr>
            </w:pPr>
            <w:r>
              <w:rPr>
                <w:rFonts w:ascii="宋体" w:hAnsi="宋体"/>
                <w:szCs w:val="21"/>
              </w:rPr>
              <w:t>油罐防腐符合规定。</w:t>
            </w:r>
          </w:p>
        </w:tc>
        <w:tc>
          <w:tcPr>
            <w:tcW w:w="900" w:type="dxa"/>
            <w:vAlign w:val="center"/>
          </w:tcPr>
          <w:p w14:paraId="3D87F5FF">
            <w:pPr>
              <w:jc w:val="center"/>
              <w:rPr>
                <w:rFonts w:ascii="宋体" w:hAnsi="宋体"/>
                <w:szCs w:val="21"/>
              </w:rPr>
            </w:pPr>
            <w:r>
              <w:rPr>
                <w:rFonts w:hint="eastAsia" w:ascii="宋体" w:hAnsi="宋体"/>
                <w:szCs w:val="21"/>
              </w:rPr>
              <w:t>符合</w:t>
            </w:r>
          </w:p>
        </w:tc>
      </w:tr>
      <w:tr w14:paraId="1582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48" w:type="dxa"/>
            <w:gridSpan w:val="8"/>
            <w:vAlign w:val="center"/>
          </w:tcPr>
          <w:p w14:paraId="721E13BC">
            <w:pPr>
              <w:jc w:val="center"/>
              <w:rPr>
                <w:rFonts w:ascii="宋体" w:hAnsi="宋体"/>
                <w:szCs w:val="21"/>
              </w:rPr>
            </w:pPr>
            <w:r>
              <w:rPr>
                <w:rFonts w:hint="eastAsia" w:ascii="宋体" w:hAnsi="宋体"/>
                <w:szCs w:val="21"/>
              </w:rPr>
              <w:t>加油机</w:t>
            </w:r>
          </w:p>
        </w:tc>
      </w:tr>
      <w:tr w14:paraId="6D86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C9A3B17">
            <w:pPr>
              <w:rPr>
                <w:rFonts w:ascii="宋体" w:hAnsi="宋体"/>
                <w:szCs w:val="21"/>
              </w:rPr>
            </w:pPr>
            <w:r>
              <w:rPr>
                <w:rFonts w:ascii="宋体" w:hAnsi="宋体"/>
                <w:szCs w:val="21"/>
              </w:rPr>
              <w:t>加油机不得设在室内。</w:t>
            </w:r>
          </w:p>
        </w:tc>
        <w:tc>
          <w:tcPr>
            <w:tcW w:w="1384" w:type="dxa"/>
            <w:vMerge w:val="restart"/>
          </w:tcPr>
          <w:p w14:paraId="7F4FC8ED">
            <w:pPr>
              <w:rPr>
                <w:rFonts w:ascii="宋体" w:hAnsi="宋体"/>
                <w:szCs w:val="21"/>
              </w:rPr>
            </w:pPr>
            <w:r>
              <w:rPr>
                <w:rFonts w:hint="eastAsia" w:ascii="宋体" w:hAnsi="宋体"/>
                <w:szCs w:val="21"/>
              </w:rPr>
              <w:t>《汽车加油加气加氢站技术标准》（GB50156-2021）6.2</w:t>
            </w:r>
          </w:p>
          <w:p w14:paraId="4F278BB1">
            <w:pPr>
              <w:jc w:val="center"/>
              <w:rPr>
                <w:rFonts w:ascii="宋体" w:hAnsi="宋体"/>
                <w:kern w:val="0"/>
                <w:szCs w:val="21"/>
              </w:rPr>
            </w:pPr>
          </w:p>
          <w:p w14:paraId="66A83B24">
            <w:pPr>
              <w:jc w:val="center"/>
              <w:rPr>
                <w:rFonts w:ascii="宋体" w:hAnsi="宋体"/>
                <w:szCs w:val="21"/>
              </w:rPr>
            </w:pPr>
          </w:p>
        </w:tc>
        <w:tc>
          <w:tcPr>
            <w:tcW w:w="2340" w:type="dxa"/>
            <w:vAlign w:val="center"/>
          </w:tcPr>
          <w:p w14:paraId="3649A9E2">
            <w:pPr>
              <w:rPr>
                <w:rFonts w:ascii="宋体" w:hAnsi="宋体"/>
                <w:szCs w:val="21"/>
              </w:rPr>
            </w:pPr>
            <w:r>
              <w:rPr>
                <w:rFonts w:ascii="宋体" w:hAnsi="宋体"/>
                <w:szCs w:val="21"/>
              </w:rPr>
              <w:t>加油机未设在室内。</w:t>
            </w:r>
          </w:p>
        </w:tc>
        <w:tc>
          <w:tcPr>
            <w:tcW w:w="900" w:type="dxa"/>
            <w:vAlign w:val="center"/>
          </w:tcPr>
          <w:p w14:paraId="375B3026">
            <w:pPr>
              <w:jc w:val="center"/>
              <w:rPr>
                <w:rFonts w:ascii="宋体" w:hAnsi="宋体"/>
                <w:szCs w:val="21"/>
              </w:rPr>
            </w:pPr>
            <w:r>
              <w:rPr>
                <w:rFonts w:ascii="宋体" w:hAnsi="宋体"/>
                <w:szCs w:val="21"/>
              </w:rPr>
              <w:t>符合</w:t>
            </w:r>
          </w:p>
        </w:tc>
      </w:tr>
      <w:tr w14:paraId="6814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41D9F97">
            <w:pPr>
              <w:rPr>
                <w:rFonts w:ascii="宋体" w:hAnsi="宋体"/>
                <w:szCs w:val="21"/>
              </w:rPr>
            </w:pPr>
            <w:r>
              <w:rPr>
                <w:rFonts w:ascii="宋体" w:hAnsi="宋体"/>
                <w:kern w:val="0"/>
                <w:szCs w:val="21"/>
              </w:rPr>
              <w:t>加油枪应采用自封式加油枪，汽油加油枪的流量不应大于50L/min。</w:t>
            </w:r>
          </w:p>
        </w:tc>
        <w:tc>
          <w:tcPr>
            <w:tcW w:w="1384" w:type="dxa"/>
            <w:vMerge w:val="continue"/>
          </w:tcPr>
          <w:p w14:paraId="40DD2F20">
            <w:pPr>
              <w:jc w:val="center"/>
              <w:rPr>
                <w:rFonts w:ascii="宋体" w:hAnsi="宋体"/>
                <w:kern w:val="0"/>
                <w:szCs w:val="21"/>
              </w:rPr>
            </w:pPr>
          </w:p>
        </w:tc>
        <w:tc>
          <w:tcPr>
            <w:tcW w:w="2340" w:type="dxa"/>
            <w:vAlign w:val="center"/>
          </w:tcPr>
          <w:p w14:paraId="22707CDC">
            <w:pPr>
              <w:rPr>
                <w:rFonts w:ascii="宋体" w:hAnsi="宋体"/>
                <w:szCs w:val="21"/>
              </w:rPr>
            </w:pPr>
            <w:r>
              <w:rPr>
                <w:rFonts w:ascii="宋体" w:hAnsi="宋体"/>
                <w:kern w:val="0"/>
                <w:szCs w:val="21"/>
              </w:rPr>
              <w:t>采用自封式加油枪，流量小于50L/min。</w:t>
            </w:r>
          </w:p>
        </w:tc>
        <w:tc>
          <w:tcPr>
            <w:tcW w:w="900" w:type="dxa"/>
            <w:vAlign w:val="center"/>
          </w:tcPr>
          <w:p w14:paraId="40E4C9C1">
            <w:pPr>
              <w:jc w:val="center"/>
              <w:rPr>
                <w:rFonts w:ascii="宋体" w:hAnsi="宋体"/>
                <w:szCs w:val="21"/>
              </w:rPr>
            </w:pPr>
            <w:r>
              <w:rPr>
                <w:rFonts w:ascii="宋体" w:hAnsi="宋体"/>
                <w:szCs w:val="21"/>
              </w:rPr>
              <w:t>符合</w:t>
            </w:r>
          </w:p>
        </w:tc>
      </w:tr>
      <w:tr w14:paraId="0B48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985CB95">
            <w:pPr>
              <w:rPr>
                <w:rFonts w:ascii="宋体" w:hAnsi="宋体"/>
                <w:kern w:val="0"/>
                <w:szCs w:val="21"/>
              </w:rPr>
            </w:pPr>
            <w:r>
              <w:rPr>
                <w:rFonts w:ascii="宋体" w:hAnsi="宋体"/>
                <w:kern w:val="0"/>
                <w:szCs w:val="21"/>
              </w:rPr>
              <w:t>加油软管上宜设安全拉断阀。</w:t>
            </w:r>
          </w:p>
        </w:tc>
        <w:tc>
          <w:tcPr>
            <w:tcW w:w="1384" w:type="dxa"/>
            <w:vMerge w:val="continue"/>
          </w:tcPr>
          <w:p w14:paraId="55A5481D">
            <w:pPr>
              <w:jc w:val="center"/>
              <w:rPr>
                <w:rFonts w:ascii="宋体" w:hAnsi="宋体"/>
                <w:kern w:val="0"/>
                <w:szCs w:val="21"/>
              </w:rPr>
            </w:pPr>
          </w:p>
        </w:tc>
        <w:tc>
          <w:tcPr>
            <w:tcW w:w="2340" w:type="dxa"/>
            <w:vAlign w:val="center"/>
          </w:tcPr>
          <w:p w14:paraId="0FFBBC17">
            <w:pPr>
              <w:rPr>
                <w:rFonts w:ascii="宋体" w:hAnsi="宋体"/>
                <w:kern w:val="0"/>
                <w:szCs w:val="21"/>
              </w:rPr>
            </w:pPr>
            <w:r>
              <w:rPr>
                <w:rFonts w:ascii="宋体" w:hAnsi="宋体"/>
                <w:kern w:val="0"/>
                <w:szCs w:val="21"/>
              </w:rPr>
              <w:t>加油软管上设置安全拉断阀。</w:t>
            </w:r>
          </w:p>
        </w:tc>
        <w:tc>
          <w:tcPr>
            <w:tcW w:w="900" w:type="dxa"/>
            <w:vAlign w:val="center"/>
          </w:tcPr>
          <w:p w14:paraId="18060A03">
            <w:pPr>
              <w:jc w:val="center"/>
              <w:rPr>
                <w:rFonts w:ascii="宋体" w:hAnsi="宋体"/>
                <w:szCs w:val="21"/>
              </w:rPr>
            </w:pPr>
            <w:r>
              <w:rPr>
                <w:rFonts w:ascii="宋体" w:hAnsi="宋体"/>
                <w:szCs w:val="21"/>
              </w:rPr>
              <w:t>符合</w:t>
            </w:r>
          </w:p>
        </w:tc>
      </w:tr>
      <w:tr w14:paraId="5271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1D60383">
            <w:pPr>
              <w:rPr>
                <w:rFonts w:ascii="宋体" w:hAnsi="宋体"/>
                <w:kern w:val="0"/>
                <w:szCs w:val="21"/>
              </w:rPr>
            </w:pPr>
            <w:r>
              <w:rPr>
                <w:rFonts w:ascii="宋体" w:hAnsi="宋体"/>
                <w:kern w:val="0"/>
                <w:szCs w:val="21"/>
              </w:rPr>
              <w:t>以正压（潜油泵）供油的加油机，其底部的供油管道上应设切断阀，当加油机被撞或起火时，切断阀应能自动关闭。</w:t>
            </w:r>
          </w:p>
        </w:tc>
        <w:tc>
          <w:tcPr>
            <w:tcW w:w="1384" w:type="dxa"/>
            <w:vMerge w:val="continue"/>
          </w:tcPr>
          <w:p w14:paraId="658AA60C">
            <w:pPr>
              <w:jc w:val="center"/>
              <w:rPr>
                <w:rFonts w:ascii="宋体" w:hAnsi="宋体"/>
                <w:kern w:val="0"/>
                <w:szCs w:val="21"/>
              </w:rPr>
            </w:pPr>
          </w:p>
        </w:tc>
        <w:tc>
          <w:tcPr>
            <w:tcW w:w="2340" w:type="dxa"/>
            <w:vAlign w:val="center"/>
          </w:tcPr>
          <w:p w14:paraId="00BE0E08">
            <w:pPr>
              <w:rPr>
                <w:rFonts w:ascii="宋体" w:hAnsi="宋体"/>
                <w:kern w:val="0"/>
                <w:szCs w:val="21"/>
              </w:rPr>
            </w:pPr>
            <w:r>
              <w:rPr>
                <w:rFonts w:ascii="宋体" w:hAnsi="宋体"/>
                <w:kern w:val="0"/>
                <w:szCs w:val="21"/>
              </w:rPr>
              <w:t>加油机底部底部的供油管道上设切断阀。</w:t>
            </w:r>
          </w:p>
        </w:tc>
        <w:tc>
          <w:tcPr>
            <w:tcW w:w="900" w:type="dxa"/>
            <w:vAlign w:val="center"/>
          </w:tcPr>
          <w:p w14:paraId="087F0AD1">
            <w:pPr>
              <w:jc w:val="center"/>
              <w:rPr>
                <w:rFonts w:ascii="宋体" w:hAnsi="宋体"/>
                <w:szCs w:val="21"/>
              </w:rPr>
            </w:pPr>
            <w:r>
              <w:rPr>
                <w:rFonts w:ascii="宋体" w:hAnsi="宋体"/>
                <w:szCs w:val="21"/>
              </w:rPr>
              <w:t>符合</w:t>
            </w:r>
          </w:p>
        </w:tc>
      </w:tr>
      <w:tr w14:paraId="5505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C67C956">
            <w:pPr>
              <w:rPr>
                <w:rFonts w:ascii="宋体" w:hAnsi="宋体"/>
                <w:szCs w:val="21"/>
              </w:rPr>
            </w:pPr>
            <w:r>
              <w:rPr>
                <w:rFonts w:ascii="宋体" w:hAnsi="宋体"/>
                <w:kern w:val="0"/>
                <w:szCs w:val="21"/>
              </w:rPr>
              <w:t>采用一机多油品的加油机时，加油机上的放枪位应有各油品的文字标识，加油枪应有颜色标识。</w:t>
            </w:r>
          </w:p>
        </w:tc>
        <w:tc>
          <w:tcPr>
            <w:tcW w:w="1384" w:type="dxa"/>
            <w:vMerge w:val="continue"/>
          </w:tcPr>
          <w:p w14:paraId="06E452D0">
            <w:pPr>
              <w:jc w:val="center"/>
              <w:rPr>
                <w:rFonts w:ascii="宋体" w:hAnsi="宋体"/>
                <w:szCs w:val="21"/>
              </w:rPr>
            </w:pPr>
          </w:p>
        </w:tc>
        <w:tc>
          <w:tcPr>
            <w:tcW w:w="2340" w:type="dxa"/>
            <w:vAlign w:val="center"/>
          </w:tcPr>
          <w:p w14:paraId="3C014656">
            <w:pPr>
              <w:rPr>
                <w:rFonts w:ascii="宋体" w:hAnsi="宋体"/>
                <w:szCs w:val="21"/>
              </w:rPr>
            </w:pPr>
            <w:r>
              <w:rPr>
                <w:rFonts w:hint="eastAsia" w:ascii="宋体" w:hAnsi="宋体"/>
                <w:kern w:val="0"/>
                <w:szCs w:val="21"/>
                <w:lang w:val="en-US" w:eastAsia="zh-CN"/>
              </w:rPr>
              <w:t>双</w:t>
            </w:r>
            <w:r>
              <w:rPr>
                <w:rFonts w:hint="eastAsia" w:ascii="宋体" w:hAnsi="宋体"/>
                <w:kern w:val="0"/>
                <w:szCs w:val="21"/>
              </w:rPr>
              <w:t>枪加油机，</w:t>
            </w:r>
            <w:r>
              <w:rPr>
                <w:rFonts w:ascii="宋体" w:hAnsi="宋体"/>
                <w:kern w:val="0"/>
                <w:szCs w:val="21"/>
              </w:rPr>
              <w:t>放枪位有各油品的文字标识</w:t>
            </w:r>
          </w:p>
        </w:tc>
        <w:tc>
          <w:tcPr>
            <w:tcW w:w="900" w:type="dxa"/>
            <w:vAlign w:val="center"/>
          </w:tcPr>
          <w:p w14:paraId="6DE1C000">
            <w:pPr>
              <w:jc w:val="center"/>
              <w:rPr>
                <w:rFonts w:ascii="宋体" w:hAnsi="宋体"/>
                <w:szCs w:val="21"/>
              </w:rPr>
            </w:pPr>
            <w:r>
              <w:rPr>
                <w:rFonts w:hint="eastAsia" w:ascii="宋体" w:hAnsi="宋体"/>
                <w:szCs w:val="21"/>
              </w:rPr>
              <w:t>符合</w:t>
            </w:r>
          </w:p>
        </w:tc>
      </w:tr>
      <w:tr w14:paraId="042C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2081F975">
            <w:pPr>
              <w:jc w:val="center"/>
              <w:rPr>
                <w:rFonts w:ascii="宋体" w:hAnsi="宋体"/>
                <w:szCs w:val="21"/>
              </w:rPr>
            </w:pPr>
            <w:r>
              <w:rPr>
                <w:rFonts w:ascii="宋体" w:hAnsi="宋体"/>
                <w:szCs w:val="21"/>
              </w:rPr>
              <w:t>工艺管道系统</w:t>
            </w:r>
          </w:p>
        </w:tc>
      </w:tr>
      <w:tr w14:paraId="7D13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7CD1CF">
            <w:pPr>
              <w:rPr>
                <w:rFonts w:ascii="宋体" w:hAnsi="宋体"/>
                <w:kern w:val="0"/>
                <w:szCs w:val="21"/>
              </w:rPr>
            </w:pPr>
            <w:r>
              <w:rPr>
                <w:rFonts w:hint="eastAsia" w:ascii="宋体" w:hAnsi="宋体"/>
                <w:kern w:val="0"/>
                <w:szCs w:val="21"/>
              </w:rPr>
              <w:t>汽油和柴油油罐车卸油必须采用</w:t>
            </w:r>
            <w:r>
              <w:rPr>
                <w:rFonts w:ascii="宋体" w:hAnsi="宋体"/>
                <w:kern w:val="0"/>
                <w:szCs w:val="21"/>
              </w:rPr>
              <w:t>密闭卸油方式</w:t>
            </w:r>
            <w:r>
              <w:rPr>
                <w:rFonts w:hint="eastAsia" w:ascii="宋体" w:hAnsi="宋体"/>
                <w:kern w:val="0"/>
                <w:szCs w:val="21"/>
              </w:rPr>
              <w:t>。汽油油罐车应具有卸油油气回收系统。</w:t>
            </w:r>
          </w:p>
        </w:tc>
        <w:tc>
          <w:tcPr>
            <w:tcW w:w="1384" w:type="dxa"/>
            <w:vMerge w:val="restart"/>
          </w:tcPr>
          <w:p w14:paraId="12D4DC97">
            <w:pPr>
              <w:jc w:val="left"/>
              <w:rPr>
                <w:rFonts w:ascii="宋体" w:hAnsi="宋体"/>
                <w:kern w:val="0"/>
                <w:szCs w:val="21"/>
              </w:rPr>
            </w:pPr>
            <w:r>
              <w:rPr>
                <w:rFonts w:hint="eastAsia" w:ascii="宋体" w:hAnsi="宋体"/>
                <w:kern w:val="0"/>
                <w:szCs w:val="21"/>
              </w:rPr>
              <w:t>《汽车加油加气加氢站技术标准》（GB50156-2021）6.3</w:t>
            </w:r>
          </w:p>
          <w:p w14:paraId="6443656E">
            <w:pPr>
              <w:jc w:val="center"/>
              <w:rPr>
                <w:rFonts w:ascii="宋体" w:hAnsi="宋体"/>
                <w:kern w:val="0"/>
                <w:szCs w:val="21"/>
              </w:rPr>
            </w:pPr>
          </w:p>
          <w:p w14:paraId="64CA0205">
            <w:pPr>
              <w:jc w:val="center"/>
              <w:rPr>
                <w:rFonts w:ascii="宋体" w:hAnsi="宋体"/>
                <w:kern w:val="0"/>
                <w:szCs w:val="21"/>
              </w:rPr>
            </w:pPr>
          </w:p>
          <w:p w14:paraId="59E65174">
            <w:pPr>
              <w:jc w:val="center"/>
              <w:rPr>
                <w:rFonts w:ascii="宋体" w:hAnsi="宋体"/>
                <w:kern w:val="0"/>
                <w:szCs w:val="21"/>
              </w:rPr>
            </w:pPr>
          </w:p>
        </w:tc>
        <w:tc>
          <w:tcPr>
            <w:tcW w:w="2340" w:type="dxa"/>
            <w:vAlign w:val="center"/>
          </w:tcPr>
          <w:p w14:paraId="3290E8E7">
            <w:pPr>
              <w:rPr>
                <w:rFonts w:ascii="宋体" w:hAnsi="宋体"/>
                <w:szCs w:val="21"/>
              </w:rPr>
            </w:pPr>
            <w:r>
              <w:rPr>
                <w:rFonts w:ascii="宋体" w:hAnsi="宋体"/>
                <w:kern w:val="0"/>
                <w:szCs w:val="21"/>
              </w:rPr>
              <w:t>采用密闭卸油方式。</w:t>
            </w:r>
          </w:p>
        </w:tc>
        <w:tc>
          <w:tcPr>
            <w:tcW w:w="900" w:type="dxa"/>
            <w:vAlign w:val="center"/>
          </w:tcPr>
          <w:p w14:paraId="2F5EC6BA">
            <w:pPr>
              <w:jc w:val="center"/>
              <w:rPr>
                <w:rFonts w:ascii="宋体" w:hAnsi="宋体"/>
                <w:szCs w:val="21"/>
              </w:rPr>
            </w:pPr>
            <w:r>
              <w:rPr>
                <w:rFonts w:ascii="宋体" w:hAnsi="宋体"/>
                <w:szCs w:val="21"/>
              </w:rPr>
              <w:t>合格</w:t>
            </w:r>
          </w:p>
        </w:tc>
      </w:tr>
      <w:tr w14:paraId="671A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C3EBD4B">
            <w:pPr>
              <w:rPr>
                <w:rFonts w:ascii="宋体" w:hAnsi="宋体"/>
                <w:kern w:val="0"/>
                <w:szCs w:val="21"/>
              </w:rPr>
            </w:pPr>
            <w:r>
              <w:rPr>
                <w:rFonts w:ascii="宋体" w:hAnsi="宋体"/>
                <w:kern w:val="0"/>
                <w:szCs w:val="21"/>
              </w:rPr>
              <w:t>每个油罐应各自设置卸油管道和卸油接口。各卸油接口及油气回收接口，应有明显的标识。</w:t>
            </w:r>
          </w:p>
        </w:tc>
        <w:tc>
          <w:tcPr>
            <w:tcW w:w="1384" w:type="dxa"/>
            <w:vMerge w:val="continue"/>
          </w:tcPr>
          <w:p w14:paraId="7ECED5C9">
            <w:pPr>
              <w:jc w:val="center"/>
              <w:rPr>
                <w:rFonts w:ascii="新宋体" w:hAnsi="新宋体" w:eastAsia="新宋体"/>
                <w:snapToGrid w:val="0"/>
                <w:sz w:val="28"/>
                <w:szCs w:val="28"/>
              </w:rPr>
            </w:pPr>
          </w:p>
        </w:tc>
        <w:tc>
          <w:tcPr>
            <w:tcW w:w="2340" w:type="dxa"/>
            <w:vAlign w:val="center"/>
          </w:tcPr>
          <w:p w14:paraId="79D7E4B5">
            <w:pPr>
              <w:rPr>
                <w:rFonts w:ascii="宋体" w:hAnsi="宋体"/>
                <w:kern w:val="0"/>
                <w:szCs w:val="21"/>
              </w:rPr>
            </w:pPr>
            <w:r>
              <w:rPr>
                <w:rFonts w:ascii="宋体" w:hAnsi="宋体"/>
                <w:kern w:val="0"/>
                <w:szCs w:val="21"/>
              </w:rPr>
              <w:t>每个油罐各自设置卸油管道和卸油接口，卸油口设置明显标识。</w:t>
            </w:r>
          </w:p>
        </w:tc>
        <w:tc>
          <w:tcPr>
            <w:tcW w:w="900" w:type="dxa"/>
            <w:vAlign w:val="center"/>
          </w:tcPr>
          <w:p w14:paraId="44746C27">
            <w:pPr>
              <w:jc w:val="center"/>
              <w:rPr>
                <w:rFonts w:ascii="宋体" w:hAnsi="宋体"/>
                <w:szCs w:val="21"/>
              </w:rPr>
            </w:pPr>
            <w:r>
              <w:rPr>
                <w:rFonts w:ascii="宋体" w:hAnsi="宋体"/>
                <w:szCs w:val="21"/>
              </w:rPr>
              <w:t>符合</w:t>
            </w:r>
          </w:p>
        </w:tc>
      </w:tr>
      <w:tr w14:paraId="092E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FAB4484">
            <w:pPr>
              <w:rPr>
                <w:rFonts w:ascii="宋体" w:hAnsi="宋体"/>
                <w:szCs w:val="21"/>
              </w:rPr>
            </w:pPr>
            <w:r>
              <w:rPr>
                <w:rFonts w:ascii="宋体" w:hAnsi="宋体"/>
                <w:kern w:val="0"/>
                <w:szCs w:val="21"/>
              </w:rPr>
              <w:t>卸油接口应装设快速接头及密封盖。</w:t>
            </w:r>
          </w:p>
        </w:tc>
        <w:tc>
          <w:tcPr>
            <w:tcW w:w="1384" w:type="dxa"/>
            <w:vMerge w:val="continue"/>
          </w:tcPr>
          <w:p w14:paraId="530A8C61">
            <w:pPr>
              <w:jc w:val="center"/>
              <w:rPr>
                <w:rFonts w:ascii="宋体" w:hAnsi="宋体"/>
                <w:kern w:val="0"/>
                <w:szCs w:val="21"/>
              </w:rPr>
            </w:pPr>
          </w:p>
        </w:tc>
        <w:tc>
          <w:tcPr>
            <w:tcW w:w="2340" w:type="dxa"/>
            <w:vAlign w:val="center"/>
          </w:tcPr>
          <w:p w14:paraId="632ADA2C">
            <w:pPr>
              <w:rPr>
                <w:rFonts w:ascii="宋体" w:hAnsi="宋体"/>
                <w:szCs w:val="21"/>
              </w:rPr>
            </w:pPr>
            <w:r>
              <w:rPr>
                <w:rFonts w:ascii="宋体" w:hAnsi="宋体"/>
                <w:kern w:val="0"/>
                <w:szCs w:val="21"/>
              </w:rPr>
              <w:t>卸油口设置快速接头和密封盖。</w:t>
            </w:r>
          </w:p>
        </w:tc>
        <w:tc>
          <w:tcPr>
            <w:tcW w:w="900" w:type="dxa"/>
            <w:vAlign w:val="center"/>
          </w:tcPr>
          <w:p w14:paraId="0E186022">
            <w:pPr>
              <w:jc w:val="center"/>
              <w:rPr>
                <w:rFonts w:ascii="宋体" w:hAnsi="宋体"/>
                <w:szCs w:val="21"/>
              </w:rPr>
            </w:pPr>
            <w:r>
              <w:rPr>
                <w:rFonts w:ascii="宋体" w:hAnsi="宋体"/>
                <w:szCs w:val="21"/>
              </w:rPr>
              <w:t>符合</w:t>
            </w:r>
          </w:p>
        </w:tc>
      </w:tr>
      <w:tr w14:paraId="3777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2A50627">
            <w:pPr>
              <w:rPr>
                <w:rFonts w:ascii="宋体" w:hAnsi="宋体"/>
                <w:kern w:val="0"/>
                <w:szCs w:val="21"/>
              </w:rPr>
            </w:pPr>
            <w:r>
              <w:rPr>
                <w:rFonts w:ascii="宋体" w:hAnsi="宋体"/>
                <w:kern w:val="0"/>
                <w:szCs w:val="21"/>
              </w:rPr>
              <w:t>加油站采用卸油油气回收系统时，其设计应符合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第6.3.4条的要求。</w:t>
            </w:r>
          </w:p>
        </w:tc>
        <w:tc>
          <w:tcPr>
            <w:tcW w:w="1384" w:type="dxa"/>
            <w:vMerge w:val="continue"/>
          </w:tcPr>
          <w:p w14:paraId="49969B4C">
            <w:pPr>
              <w:jc w:val="center"/>
              <w:rPr>
                <w:rFonts w:ascii="宋体" w:hAnsi="宋体"/>
                <w:kern w:val="0"/>
                <w:szCs w:val="21"/>
              </w:rPr>
            </w:pPr>
          </w:p>
        </w:tc>
        <w:tc>
          <w:tcPr>
            <w:tcW w:w="2340" w:type="dxa"/>
            <w:vAlign w:val="center"/>
          </w:tcPr>
          <w:p w14:paraId="79E46B32">
            <w:pPr>
              <w:rPr>
                <w:rFonts w:ascii="宋体" w:hAnsi="宋体"/>
                <w:kern w:val="0"/>
                <w:szCs w:val="21"/>
              </w:rPr>
            </w:pPr>
            <w:r>
              <w:rPr>
                <w:rFonts w:hint="eastAsia" w:ascii="宋体" w:hAnsi="宋体"/>
                <w:kern w:val="0"/>
                <w:szCs w:val="21"/>
              </w:rPr>
              <w:t>采用油气回收系统。</w:t>
            </w:r>
          </w:p>
        </w:tc>
        <w:tc>
          <w:tcPr>
            <w:tcW w:w="900" w:type="dxa"/>
            <w:vAlign w:val="center"/>
          </w:tcPr>
          <w:p w14:paraId="1AC89BE0">
            <w:pPr>
              <w:jc w:val="center"/>
              <w:rPr>
                <w:rFonts w:ascii="宋体" w:hAnsi="宋体"/>
                <w:szCs w:val="21"/>
              </w:rPr>
            </w:pPr>
            <w:r>
              <w:rPr>
                <w:rFonts w:hint="eastAsia" w:ascii="宋体" w:hAnsi="宋体"/>
                <w:szCs w:val="21"/>
              </w:rPr>
              <w:t>符合</w:t>
            </w:r>
          </w:p>
        </w:tc>
      </w:tr>
      <w:tr w14:paraId="2122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566B63">
            <w:pPr>
              <w:rPr>
                <w:rFonts w:ascii="宋体" w:hAnsi="宋体"/>
                <w:kern w:val="0"/>
                <w:szCs w:val="21"/>
              </w:rPr>
            </w:pPr>
            <w:r>
              <w:rPr>
                <w:rFonts w:ascii="宋体" w:hAnsi="宋体"/>
                <w:kern w:val="0"/>
                <w:szCs w:val="21"/>
              </w:rPr>
              <w:t>加油站宜采用油罐装设潜油泵的一泵供多机（枪）的加油工艺。采用自吸式加油机时，每台加油机应按加油品品种单独设置进油管和罐内底阀。</w:t>
            </w:r>
          </w:p>
        </w:tc>
        <w:tc>
          <w:tcPr>
            <w:tcW w:w="1384" w:type="dxa"/>
            <w:vMerge w:val="continue"/>
          </w:tcPr>
          <w:p w14:paraId="59CB1BA2">
            <w:pPr>
              <w:jc w:val="center"/>
              <w:rPr>
                <w:rFonts w:ascii="宋体" w:hAnsi="宋体"/>
                <w:kern w:val="0"/>
                <w:szCs w:val="21"/>
              </w:rPr>
            </w:pPr>
          </w:p>
        </w:tc>
        <w:tc>
          <w:tcPr>
            <w:tcW w:w="2340" w:type="dxa"/>
            <w:vAlign w:val="center"/>
          </w:tcPr>
          <w:p w14:paraId="3822067F">
            <w:pPr>
              <w:jc w:val="center"/>
              <w:rPr>
                <w:rFonts w:ascii="宋体" w:hAnsi="宋体"/>
                <w:kern w:val="0"/>
                <w:szCs w:val="21"/>
              </w:rPr>
            </w:pPr>
            <w:r>
              <w:rPr>
                <w:rFonts w:ascii="宋体" w:hAnsi="宋体"/>
                <w:kern w:val="0"/>
                <w:szCs w:val="21"/>
              </w:rPr>
              <w:t>采用潜油泵。</w:t>
            </w:r>
          </w:p>
        </w:tc>
        <w:tc>
          <w:tcPr>
            <w:tcW w:w="900" w:type="dxa"/>
            <w:vAlign w:val="center"/>
          </w:tcPr>
          <w:p w14:paraId="7B4F6BE8">
            <w:pPr>
              <w:jc w:val="center"/>
              <w:rPr>
                <w:rFonts w:ascii="宋体" w:hAnsi="宋体"/>
                <w:szCs w:val="21"/>
              </w:rPr>
            </w:pPr>
            <w:r>
              <w:rPr>
                <w:rFonts w:ascii="宋体" w:hAnsi="宋体"/>
                <w:szCs w:val="21"/>
              </w:rPr>
              <w:t>符合</w:t>
            </w:r>
          </w:p>
        </w:tc>
      </w:tr>
      <w:tr w14:paraId="310D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902CF3">
            <w:pPr>
              <w:rPr>
                <w:rFonts w:ascii="宋体" w:hAnsi="宋体"/>
                <w:kern w:val="0"/>
                <w:szCs w:val="21"/>
              </w:rPr>
            </w:pPr>
            <w:r>
              <w:rPr>
                <w:rFonts w:ascii="宋体" w:hAnsi="宋体"/>
                <w:kern w:val="0"/>
                <w:szCs w:val="21"/>
              </w:rPr>
              <w:t>加油站采用加油油气回收系统时，其设计应符合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7</w:t>
            </w:r>
            <w:r>
              <w:rPr>
                <w:rFonts w:ascii="宋体" w:hAnsi="宋体"/>
                <w:kern w:val="0"/>
                <w:szCs w:val="21"/>
              </w:rPr>
              <w:t>条的要求。</w:t>
            </w:r>
          </w:p>
        </w:tc>
        <w:tc>
          <w:tcPr>
            <w:tcW w:w="1384" w:type="dxa"/>
            <w:vMerge w:val="continue"/>
          </w:tcPr>
          <w:p w14:paraId="4A5CAFD9">
            <w:pPr>
              <w:jc w:val="center"/>
              <w:rPr>
                <w:rFonts w:ascii="宋体" w:hAnsi="宋体"/>
                <w:kern w:val="0"/>
                <w:szCs w:val="21"/>
              </w:rPr>
            </w:pPr>
          </w:p>
        </w:tc>
        <w:tc>
          <w:tcPr>
            <w:tcW w:w="2340" w:type="dxa"/>
            <w:vAlign w:val="center"/>
          </w:tcPr>
          <w:p w14:paraId="1CF264EC">
            <w:pPr>
              <w:rPr>
                <w:rFonts w:ascii="宋体" w:hAnsi="宋体"/>
                <w:kern w:val="0"/>
                <w:szCs w:val="21"/>
              </w:rPr>
            </w:pPr>
            <w:r>
              <w:rPr>
                <w:rFonts w:hint="eastAsia" w:ascii="宋体" w:hAnsi="宋体"/>
                <w:kern w:val="0"/>
                <w:szCs w:val="21"/>
              </w:rPr>
              <w:t>采用油气回收系统。</w:t>
            </w:r>
          </w:p>
        </w:tc>
        <w:tc>
          <w:tcPr>
            <w:tcW w:w="900" w:type="dxa"/>
            <w:vAlign w:val="center"/>
          </w:tcPr>
          <w:p w14:paraId="00A5932F">
            <w:pPr>
              <w:jc w:val="center"/>
              <w:rPr>
                <w:rFonts w:ascii="宋体" w:hAnsi="宋体"/>
                <w:szCs w:val="21"/>
              </w:rPr>
            </w:pPr>
            <w:r>
              <w:rPr>
                <w:rFonts w:hint="eastAsia" w:ascii="宋体" w:hAnsi="宋体"/>
                <w:szCs w:val="21"/>
              </w:rPr>
              <w:t>符合</w:t>
            </w:r>
          </w:p>
        </w:tc>
      </w:tr>
      <w:tr w14:paraId="29CB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785CDCD">
            <w:pPr>
              <w:autoSpaceDE w:val="0"/>
              <w:autoSpaceDN w:val="0"/>
              <w:adjustRightInd w:val="0"/>
              <w:jc w:val="left"/>
              <w:rPr>
                <w:rFonts w:ascii="宋体" w:hAnsi="宋体"/>
                <w:kern w:val="0"/>
                <w:szCs w:val="21"/>
              </w:rPr>
            </w:pPr>
            <w:r>
              <w:rPr>
                <w:rFonts w:ascii="宋体" w:hAnsi="宋体"/>
                <w:kern w:val="0"/>
                <w:szCs w:val="21"/>
              </w:rPr>
              <w:t>油罐的接合管设置应符合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8</w:t>
            </w:r>
            <w:r>
              <w:rPr>
                <w:rFonts w:ascii="宋体" w:hAnsi="宋体"/>
                <w:kern w:val="0"/>
                <w:szCs w:val="21"/>
              </w:rPr>
              <w:t>条的要求。</w:t>
            </w:r>
          </w:p>
        </w:tc>
        <w:tc>
          <w:tcPr>
            <w:tcW w:w="1384" w:type="dxa"/>
            <w:vMerge w:val="continue"/>
          </w:tcPr>
          <w:p w14:paraId="65DE3F93">
            <w:pPr>
              <w:jc w:val="center"/>
              <w:rPr>
                <w:rFonts w:ascii="宋体" w:hAnsi="宋体"/>
                <w:szCs w:val="21"/>
              </w:rPr>
            </w:pPr>
          </w:p>
        </w:tc>
        <w:tc>
          <w:tcPr>
            <w:tcW w:w="2340" w:type="dxa"/>
            <w:vAlign w:val="center"/>
          </w:tcPr>
          <w:p w14:paraId="266D3348">
            <w:pPr>
              <w:rPr>
                <w:rFonts w:ascii="宋体" w:hAnsi="宋体"/>
                <w:szCs w:val="21"/>
              </w:rPr>
            </w:pPr>
            <w:r>
              <w:rPr>
                <w:rFonts w:ascii="宋体" w:hAnsi="宋体"/>
                <w:kern w:val="0"/>
                <w:szCs w:val="21"/>
              </w:rPr>
              <w:t>油罐的接合管</w:t>
            </w:r>
            <w:r>
              <w:rPr>
                <w:rFonts w:hint="eastAsia" w:ascii="宋体" w:hAnsi="宋体"/>
                <w:kern w:val="0"/>
                <w:szCs w:val="21"/>
              </w:rPr>
              <w:t>为金属材质，且采用了铜片跨接。</w:t>
            </w:r>
          </w:p>
        </w:tc>
        <w:tc>
          <w:tcPr>
            <w:tcW w:w="900" w:type="dxa"/>
            <w:vAlign w:val="center"/>
          </w:tcPr>
          <w:p w14:paraId="2CCAA9CD">
            <w:pPr>
              <w:jc w:val="center"/>
              <w:rPr>
                <w:rFonts w:ascii="宋体" w:hAnsi="宋体"/>
                <w:szCs w:val="21"/>
              </w:rPr>
            </w:pPr>
            <w:r>
              <w:rPr>
                <w:rFonts w:hint="eastAsia" w:ascii="宋体" w:hAnsi="宋体"/>
                <w:szCs w:val="21"/>
              </w:rPr>
              <w:t>符合</w:t>
            </w:r>
          </w:p>
        </w:tc>
      </w:tr>
      <w:tr w14:paraId="0B9B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321A69E">
            <w:pPr>
              <w:autoSpaceDE w:val="0"/>
              <w:autoSpaceDN w:val="0"/>
              <w:adjustRightInd w:val="0"/>
              <w:jc w:val="left"/>
              <w:rPr>
                <w:rFonts w:ascii="宋体" w:hAnsi="宋体"/>
                <w:kern w:val="0"/>
                <w:szCs w:val="21"/>
              </w:rPr>
            </w:pPr>
            <w:r>
              <w:rPr>
                <w:rFonts w:ascii="宋体" w:hAnsi="宋体"/>
                <w:kern w:val="0"/>
                <w:szCs w:val="21"/>
              </w:rPr>
              <w:t>汽油罐与柴油罐的通气管应分开设置。通气管管口高出地面的高度不应小于4m。沿建（构）筑物的墙（柱）向上敷设的通气管，其管口应高出建筑物的顶面</w:t>
            </w:r>
            <w:r>
              <w:rPr>
                <w:rFonts w:hint="eastAsia" w:ascii="宋体" w:hAnsi="宋体"/>
                <w:kern w:val="0"/>
                <w:szCs w:val="21"/>
              </w:rPr>
              <w:t>2</w:t>
            </w:r>
            <w:r>
              <w:rPr>
                <w:rFonts w:ascii="宋体" w:hAnsi="宋体"/>
                <w:kern w:val="0"/>
                <w:szCs w:val="21"/>
              </w:rPr>
              <w:t>m 及以上。通气管管口应设置阻火器。</w:t>
            </w:r>
          </w:p>
        </w:tc>
        <w:tc>
          <w:tcPr>
            <w:tcW w:w="1384" w:type="dxa"/>
            <w:vMerge w:val="continue"/>
          </w:tcPr>
          <w:p w14:paraId="513D65E4">
            <w:pPr>
              <w:jc w:val="center"/>
              <w:rPr>
                <w:rFonts w:ascii="宋体" w:hAnsi="宋体"/>
                <w:kern w:val="0"/>
                <w:szCs w:val="21"/>
              </w:rPr>
            </w:pPr>
          </w:p>
        </w:tc>
        <w:tc>
          <w:tcPr>
            <w:tcW w:w="2340" w:type="dxa"/>
            <w:vAlign w:val="center"/>
          </w:tcPr>
          <w:p w14:paraId="485EBE0B">
            <w:pPr>
              <w:rPr>
                <w:rFonts w:ascii="宋体" w:hAnsi="宋体"/>
                <w:szCs w:val="21"/>
              </w:rPr>
            </w:pPr>
            <w:r>
              <w:rPr>
                <w:rFonts w:ascii="宋体" w:hAnsi="宋体"/>
                <w:kern w:val="0"/>
                <w:szCs w:val="21"/>
              </w:rPr>
              <w:t>管口应高出建筑物的顶面</w:t>
            </w:r>
            <w:r>
              <w:rPr>
                <w:rFonts w:hint="eastAsia" w:ascii="宋体" w:hAnsi="宋体"/>
                <w:kern w:val="0"/>
                <w:szCs w:val="21"/>
              </w:rPr>
              <w:t>2</w:t>
            </w:r>
            <w:r>
              <w:rPr>
                <w:rFonts w:ascii="宋体" w:hAnsi="宋体"/>
                <w:kern w:val="0"/>
                <w:szCs w:val="21"/>
              </w:rPr>
              <w:t>m 及以上</w:t>
            </w:r>
          </w:p>
        </w:tc>
        <w:tc>
          <w:tcPr>
            <w:tcW w:w="900" w:type="dxa"/>
            <w:vAlign w:val="center"/>
          </w:tcPr>
          <w:p w14:paraId="7F80DB0D">
            <w:pPr>
              <w:jc w:val="center"/>
              <w:rPr>
                <w:rFonts w:ascii="宋体" w:hAnsi="宋体"/>
                <w:szCs w:val="21"/>
              </w:rPr>
            </w:pPr>
            <w:r>
              <w:rPr>
                <w:rFonts w:ascii="宋体" w:hAnsi="宋体"/>
                <w:szCs w:val="21"/>
              </w:rPr>
              <w:t>符合</w:t>
            </w:r>
          </w:p>
        </w:tc>
      </w:tr>
      <w:tr w14:paraId="291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4E53E95">
            <w:pPr>
              <w:autoSpaceDE w:val="0"/>
              <w:autoSpaceDN w:val="0"/>
              <w:adjustRightInd w:val="0"/>
              <w:jc w:val="left"/>
              <w:rPr>
                <w:rFonts w:ascii="宋体" w:hAnsi="宋体"/>
                <w:kern w:val="0"/>
                <w:szCs w:val="21"/>
              </w:rPr>
            </w:pPr>
            <w:r>
              <w:rPr>
                <w:rFonts w:ascii="宋体" w:hAnsi="宋体"/>
                <w:kern w:val="0"/>
                <w:szCs w:val="21"/>
              </w:rPr>
              <w:t>通气管的公称直径不应小于50mm。</w:t>
            </w:r>
          </w:p>
        </w:tc>
        <w:tc>
          <w:tcPr>
            <w:tcW w:w="1384" w:type="dxa"/>
            <w:vMerge w:val="continue"/>
          </w:tcPr>
          <w:p w14:paraId="4541158A">
            <w:pPr>
              <w:jc w:val="center"/>
              <w:rPr>
                <w:rFonts w:ascii="宋体" w:hAnsi="宋体"/>
                <w:kern w:val="0"/>
                <w:szCs w:val="21"/>
              </w:rPr>
            </w:pPr>
          </w:p>
        </w:tc>
        <w:tc>
          <w:tcPr>
            <w:tcW w:w="2340" w:type="dxa"/>
            <w:vAlign w:val="center"/>
          </w:tcPr>
          <w:p w14:paraId="56AAF245">
            <w:pPr>
              <w:rPr>
                <w:rFonts w:ascii="宋体" w:hAnsi="宋体"/>
                <w:kern w:val="0"/>
                <w:szCs w:val="21"/>
              </w:rPr>
            </w:pPr>
            <w:r>
              <w:rPr>
                <w:rFonts w:ascii="宋体" w:hAnsi="宋体"/>
                <w:kern w:val="0"/>
                <w:szCs w:val="21"/>
              </w:rPr>
              <w:t>通气管的公称直径约为50mm。</w:t>
            </w:r>
          </w:p>
        </w:tc>
        <w:tc>
          <w:tcPr>
            <w:tcW w:w="900" w:type="dxa"/>
            <w:vAlign w:val="center"/>
          </w:tcPr>
          <w:p w14:paraId="7EF619A2">
            <w:pPr>
              <w:jc w:val="center"/>
              <w:rPr>
                <w:rFonts w:ascii="宋体" w:hAnsi="宋体"/>
                <w:szCs w:val="21"/>
              </w:rPr>
            </w:pPr>
            <w:r>
              <w:rPr>
                <w:rFonts w:ascii="宋体" w:hAnsi="宋体"/>
                <w:szCs w:val="21"/>
              </w:rPr>
              <w:t>符合</w:t>
            </w:r>
          </w:p>
        </w:tc>
      </w:tr>
      <w:tr w14:paraId="1F1D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3CC447D">
            <w:pPr>
              <w:autoSpaceDE w:val="0"/>
              <w:autoSpaceDN w:val="0"/>
              <w:adjustRightInd w:val="0"/>
              <w:jc w:val="left"/>
              <w:rPr>
                <w:rFonts w:ascii="宋体" w:hAnsi="宋体"/>
                <w:kern w:val="0"/>
                <w:szCs w:val="21"/>
              </w:rPr>
            </w:pPr>
            <w:r>
              <w:rPr>
                <w:rFonts w:ascii="宋体" w:hAnsi="宋体"/>
                <w:kern w:val="0"/>
                <w:szCs w:val="21"/>
              </w:rPr>
              <w:t>当加油站采用油气回收系统时，汽油罐的通气管管口除应阻火器外，尚应装设呼吸阀。呼吸阀的工作压力宜为2kPa~3kPa，工作负压宜为1.5kPa~2kPa。</w:t>
            </w:r>
          </w:p>
        </w:tc>
        <w:tc>
          <w:tcPr>
            <w:tcW w:w="1384" w:type="dxa"/>
            <w:vMerge w:val="continue"/>
          </w:tcPr>
          <w:p w14:paraId="258F9936">
            <w:pPr>
              <w:jc w:val="center"/>
              <w:rPr>
                <w:rFonts w:ascii="宋体" w:hAnsi="宋体"/>
                <w:kern w:val="0"/>
                <w:szCs w:val="21"/>
              </w:rPr>
            </w:pPr>
          </w:p>
        </w:tc>
        <w:tc>
          <w:tcPr>
            <w:tcW w:w="2340" w:type="dxa"/>
            <w:vAlign w:val="center"/>
          </w:tcPr>
          <w:p w14:paraId="4557FA86">
            <w:pPr>
              <w:rPr>
                <w:rFonts w:ascii="宋体" w:hAnsi="宋体"/>
                <w:kern w:val="0"/>
                <w:szCs w:val="21"/>
              </w:rPr>
            </w:pPr>
            <w:r>
              <w:rPr>
                <w:rFonts w:ascii="宋体" w:hAnsi="宋体"/>
                <w:kern w:val="0"/>
                <w:szCs w:val="21"/>
              </w:rPr>
              <w:t>汽油罐的通气管管口装设呼吸阀。</w:t>
            </w:r>
          </w:p>
        </w:tc>
        <w:tc>
          <w:tcPr>
            <w:tcW w:w="900" w:type="dxa"/>
            <w:vAlign w:val="center"/>
          </w:tcPr>
          <w:p w14:paraId="29C83FC7">
            <w:pPr>
              <w:jc w:val="center"/>
              <w:rPr>
                <w:rFonts w:ascii="宋体" w:hAnsi="宋体"/>
                <w:szCs w:val="21"/>
              </w:rPr>
            </w:pPr>
            <w:r>
              <w:rPr>
                <w:rFonts w:ascii="宋体" w:hAnsi="宋体"/>
                <w:szCs w:val="21"/>
              </w:rPr>
              <w:t>符合</w:t>
            </w:r>
          </w:p>
        </w:tc>
      </w:tr>
      <w:tr w14:paraId="79D9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EC9DBF0">
            <w:pPr>
              <w:autoSpaceDE w:val="0"/>
              <w:autoSpaceDN w:val="0"/>
              <w:adjustRightInd w:val="0"/>
              <w:jc w:val="left"/>
              <w:rPr>
                <w:rFonts w:ascii="宋体" w:hAnsi="宋体"/>
                <w:kern w:val="0"/>
                <w:szCs w:val="21"/>
              </w:rPr>
            </w:pPr>
            <w:r>
              <w:rPr>
                <w:rFonts w:ascii="宋体" w:hAnsi="宋体"/>
                <w:kern w:val="0"/>
                <w:szCs w:val="21"/>
              </w:rPr>
              <w:t>1</w:t>
            </w:r>
            <w:r>
              <w:rPr>
                <w:rFonts w:hint="eastAsia" w:ascii="宋体" w:hAnsi="宋体"/>
                <w:kern w:val="0"/>
                <w:szCs w:val="21"/>
              </w:rPr>
              <w:t>1</w:t>
            </w:r>
            <w:r>
              <w:rPr>
                <w:rFonts w:ascii="宋体" w:hAnsi="宋体"/>
                <w:kern w:val="0"/>
                <w:szCs w:val="21"/>
              </w:rPr>
              <w:t>.加油站工艺管道的选用，应符合下列规定：</w:t>
            </w:r>
          </w:p>
          <w:p w14:paraId="779A4CA0">
            <w:pPr>
              <w:autoSpaceDE w:val="0"/>
              <w:autoSpaceDN w:val="0"/>
              <w:adjustRightInd w:val="0"/>
              <w:jc w:val="left"/>
              <w:rPr>
                <w:rFonts w:ascii="宋体" w:hAnsi="宋体"/>
                <w:kern w:val="0"/>
                <w:szCs w:val="21"/>
              </w:rPr>
            </w:pPr>
            <w:r>
              <w:rPr>
                <w:rFonts w:ascii="宋体" w:hAnsi="宋体"/>
                <w:kern w:val="0"/>
                <w:szCs w:val="21"/>
              </w:rPr>
              <w:t>1）油罐通气管道和露出地面的管道，应采用符合现行国家标准《输送流体用无缝钢管》GB/T 8163 的无缝钢管。</w:t>
            </w:r>
          </w:p>
          <w:p w14:paraId="3876163C">
            <w:pPr>
              <w:autoSpaceDE w:val="0"/>
              <w:autoSpaceDN w:val="0"/>
              <w:adjustRightInd w:val="0"/>
              <w:jc w:val="left"/>
              <w:rPr>
                <w:rFonts w:ascii="宋体" w:hAnsi="宋体"/>
                <w:kern w:val="0"/>
                <w:szCs w:val="21"/>
              </w:rPr>
            </w:pPr>
            <w:r>
              <w:rPr>
                <w:rFonts w:ascii="宋体" w:hAnsi="宋体"/>
                <w:kern w:val="0"/>
                <w:szCs w:val="21"/>
              </w:rPr>
              <w:t>2）其他管道应采用输送流体用无缝钢管或适用于输送油品的热塑性管道。所采用的热塑性塑料管道应有质量证明文件。非烃类车用燃料不得采用不导静电的热塑性塑料软管。</w:t>
            </w:r>
          </w:p>
          <w:p w14:paraId="1A32787D">
            <w:pPr>
              <w:autoSpaceDE w:val="0"/>
              <w:autoSpaceDN w:val="0"/>
              <w:adjustRightInd w:val="0"/>
              <w:jc w:val="left"/>
              <w:rPr>
                <w:rFonts w:ascii="宋体" w:hAnsi="宋体"/>
                <w:kern w:val="0"/>
                <w:szCs w:val="21"/>
              </w:rPr>
            </w:pPr>
            <w:r>
              <w:rPr>
                <w:rFonts w:ascii="宋体" w:hAnsi="宋体"/>
                <w:kern w:val="0"/>
                <w:szCs w:val="21"/>
              </w:rPr>
              <w:t>3）无缝钢管的公称壁厚不应小于4mm，埋地钢管的连接应采用焊接。</w:t>
            </w:r>
          </w:p>
          <w:p w14:paraId="13BFF2A4">
            <w:pPr>
              <w:autoSpaceDE w:val="0"/>
              <w:autoSpaceDN w:val="0"/>
              <w:adjustRightInd w:val="0"/>
              <w:jc w:val="left"/>
              <w:rPr>
                <w:rFonts w:ascii="宋体" w:hAnsi="宋体"/>
                <w:kern w:val="0"/>
                <w:szCs w:val="21"/>
              </w:rPr>
            </w:pPr>
            <w:r>
              <w:rPr>
                <w:rFonts w:ascii="宋体" w:hAnsi="宋体"/>
                <w:kern w:val="0"/>
                <w:szCs w:val="21"/>
              </w:rPr>
              <w:t>4）热塑性塑料管道的主体结构层应为无空隙乙烯材料，壁厚不应小于4mm，买地部分的热塑性塑料管道应采用配套的专用接管电熔连接。</w:t>
            </w:r>
          </w:p>
          <w:p w14:paraId="1FE0CCA0">
            <w:pPr>
              <w:autoSpaceDE w:val="0"/>
              <w:autoSpaceDN w:val="0"/>
              <w:adjustRightInd w:val="0"/>
              <w:jc w:val="left"/>
              <w:rPr>
                <w:rFonts w:ascii="宋体" w:hAnsi="宋体"/>
                <w:kern w:val="0"/>
                <w:szCs w:val="21"/>
              </w:rPr>
            </w:pPr>
            <w:r>
              <w:rPr>
                <w:rFonts w:ascii="宋体" w:hAnsi="宋体"/>
                <w:kern w:val="0"/>
                <w:szCs w:val="21"/>
              </w:rPr>
              <w:t>5）导静电热塑性塑料管道导静电衬层的体电阻率应小于10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w:t>
            </w:r>
          </w:p>
          <w:p w14:paraId="515B4452">
            <w:pPr>
              <w:autoSpaceDE w:val="0"/>
              <w:autoSpaceDN w:val="0"/>
              <w:adjustRightInd w:val="0"/>
              <w:jc w:val="left"/>
              <w:rPr>
                <w:rFonts w:ascii="宋体" w:hAnsi="宋体"/>
                <w:kern w:val="0"/>
                <w:szCs w:val="21"/>
              </w:rPr>
            </w:pPr>
            <w:r>
              <w:rPr>
                <w:rFonts w:ascii="宋体" w:hAnsi="宋体"/>
                <w:kern w:val="0"/>
                <w:szCs w:val="21"/>
              </w:rPr>
              <w:t>6）不导静电热塑性塑料管道主体结构层的介电击穿强度应大于100KV。</w:t>
            </w:r>
          </w:p>
          <w:p w14:paraId="4552BBD5">
            <w:pPr>
              <w:autoSpaceDE w:val="0"/>
              <w:autoSpaceDN w:val="0"/>
              <w:adjustRightInd w:val="0"/>
              <w:jc w:val="left"/>
              <w:rPr>
                <w:rFonts w:ascii="宋体" w:hAnsi="宋体"/>
                <w:kern w:val="0"/>
                <w:szCs w:val="21"/>
              </w:rPr>
            </w:pPr>
            <w:r>
              <w:rPr>
                <w:rFonts w:ascii="宋体" w:hAnsi="宋体"/>
                <w:kern w:val="0"/>
                <w:szCs w:val="21"/>
              </w:rPr>
              <w:t>7）柴油尾气处理液加注设备的管道，应采用奥氏体不锈钢管道或能满足输送柴油尾气处理液的其他管道。</w:t>
            </w:r>
          </w:p>
        </w:tc>
        <w:tc>
          <w:tcPr>
            <w:tcW w:w="1384" w:type="dxa"/>
            <w:vMerge w:val="continue"/>
          </w:tcPr>
          <w:p w14:paraId="0EA34371">
            <w:pPr>
              <w:jc w:val="center"/>
              <w:rPr>
                <w:rFonts w:ascii="宋体" w:hAnsi="宋体"/>
                <w:kern w:val="0"/>
                <w:szCs w:val="21"/>
              </w:rPr>
            </w:pPr>
          </w:p>
        </w:tc>
        <w:tc>
          <w:tcPr>
            <w:tcW w:w="2340" w:type="dxa"/>
            <w:vAlign w:val="center"/>
          </w:tcPr>
          <w:p w14:paraId="62622BCC">
            <w:pPr>
              <w:rPr>
                <w:rFonts w:ascii="宋体" w:hAnsi="宋体"/>
                <w:kern w:val="0"/>
                <w:szCs w:val="21"/>
              </w:rPr>
            </w:pPr>
            <w:r>
              <w:rPr>
                <w:rFonts w:ascii="宋体" w:hAnsi="宋体"/>
                <w:kern w:val="0"/>
                <w:szCs w:val="21"/>
              </w:rPr>
              <w:t>油罐通气管道和露出地面的管道，采用无缝钢管。无缝钢管的公称壁厚大于4mm，埋地钢管的连接采用焊接。</w:t>
            </w:r>
          </w:p>
        </w:tc>
        <w:tc>
          <w:tcPr>
            <w:tcW w:w="900" w:type="dxa"/>
            <w:vAlign w:val="center"/>
          </w:tcPr>
          <w:p w14:paraId="5DEBD06E">
            <w:pPr>
              <w:jc w:val="center"/>
              <w:rPr>
                <w:rFonts w:ascii="宋体" w:hAnsi="宋体"/>
                <w:szCs w:val="21"/>
              </w:rPr>
            </w:pPr>
            <w:r>
              <w:rPr>
                <w:rFonts w:ascii="宋体" w:hAnsi="宋体"/>
                <w:szCs w:val="21"/>
              </w:rPr>
              <w:t>符合</w:t>
            </w:r>
          </w:p>
        </w:tc>
      </w:tr>
      <w:tr w14:paraId="362D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8BC5D9A">
            <w:pPr>
              <w:autoSpaceDE w:val="0"/>
              <w:autoSpaceDN w:val="0"/>
              <w:adjustRightInd w:val="0"/>
              <w:jc w:val="left"/>
              <w:rPr>
                <w:rFonts w:ascii="宋体" w:hAnsi="宋体"/>
                <w:kern w:val="0"/>
                <w:szCs w:val="21"/>
              </w:rPr>
            </w:pPr>
            <w:r>
              <w:rPr>
                <w:rFonts w:ascii="宋体" w:hAnsi="宋体"/>
                <w:kern w:val="0"/>
                <w:szCs w:val="21"/>
              </w:rPr>
              <w:t>油罐车卸油时用的卸油连通软管，油气回收连通软管，应采用导静电耐油软管，其体电阻率应小于10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欧姆，或采用内附金属丝（网）的橡胶软管。</w:t>
            </w:r>
          </w:p>
        </w:tc>
        <w:tc>
          <w:tcPr>
            <w:tcW w:w="1384" w:type="dxa"/>
            <w:vMerge w:val="continue"/>
          </w:tcPr>
          <w:p w14:paraId="268270CE">
            <w:pPr>
              <w:jc w:val="center"/>
              <w:rPr>
                <w:rFonts w:ascii="宋体" w:hAnsi="宋体"/>
                <w:kern w:val="0"/>
                <w:szCs w:val="21"/>
              </w:rPr>
            </w:pPr>
          </w:p>
        </w:tc>
        <w:tc>
          <w:tcPr>
            <w:tcW w:w="2340" w:type="dxa"/>
            <w:vAlign w:val="center"/>
          </w:tcPr>
          <w:p w14:paraId="31717EAA">
            <w:pPr>
              <w:rPr>
                <w:rFonts w:ascii="宋体" w:hAnsi="宋体"/>
                <w:kern w:val="0"/>
                <w:szCs w:val="21"/>
              </w:rPr>
            </w:pPr>
            <w:r>
              <w:rPr>
                <w:rFonts w:ascii="宋体" w:hAnsi="宋体"/>
                <w:kern w:val="0"/>
                <w:szCs w:val="21"/>
              </w:rPr>
              <w:t>卸油管采用导静电耐油软管，电阻值经检测合格。</w:t>
            </w:r>
          </w:p>
        </w:tc>
        <w:tc>
          <w:tcPr>
            <w:tcW w:w="900" w:type="dxa"/>
            <w:vAlign w:val="center"/>
          </w:tcPr>
          <w:p w14:paraId="27E5D11C">
            <w:pPr>
              <w:jc w:val="center"/>
              <w:rPr>
                <w:rFonts w:ascii="宋体" w:hAnsi="宋体"/>
                <w:szCs w:val="21"/>
              </w:rPr>
            </w:pPr>
            <w:r>
              <w:rPr>
                <w:rFonts w:ascii="宋体" w:hAnsi="宋体"/>
                <w:szCs w:val="21"/>
              </w:rPr>
              <w:t>符合</w:t>
            </w:r>
          </w:p>
        </w:tc>
      </w:tr>
      <w:tr w14:paraId="2242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F3774B">
            <w:pPr>
              <w:autoSpaceDE w:val="0"/>
              <w:autoSpaceDN w:val="0"/>
              <w:adjustRightInd w:val="0"/>
              <w:jc w:val="left"/>
              <w:rPr>
                <w:rFonts w:ascii="宋体" w:hAnsi="宋体"/>
                <w:kern w:val="0"/>
                <w:szCs w:val="21"/>
              </w:rPr>
            </w:pPr>
            <w:r>
              <w:rPr>
                <w:rFonts w:ascii="宋体" w:hAnsi="宋体"/>
                <w:kern w:val="0"/>
                <w:szCs w:val="21"/>
              </w:rPr>
              <w:t>加油站内的工艺管道除必须露出地面的以外，均应埋地敷设。当采用管沟敷设时，管沟必须用中性沙子或细土填满、填实。</w:t>
            </w:r>
          </w:p>
        </w:tc>
        <w:tc>
          <w:tcPr>
            <w:tcW w:w="1384" w:type="dxa"/>
            <w:vMerge w:val="continue"/>
          </w:tcPr>
          <w:p w14:paraId="2CEE7463">
            <w:pPr>
              <w:jc w:val="center"/>
              <w:rPr>
                <w:rFonts w:ascii="宋体" w:hAnsi="宋体"/>
                <w:szCs w:val="21"/>
              </w:rPr>
            </w:pPr>
          </w:p>
        </w:tc>
        <w:tc>
          <w:tcPr>
            <w:tcW w:w="2340" w:type="dxa"/>
            <w:vAlign w:val="center"/>
          </w:tcPr>
          <w:p w14:paraId="0253726C">
            <w:pPr>
              <w:rPr>
                <w:rFonts w:ascii="宋体" w:hAnsi="宋体"/>
                <w:kern w:val="0"/>
                <w:szCs w:val="21"/>
              </w:rPr>
            </w:pPr>
            <w:r>
              <w:rPr>
                <w:rFonts w:ascii="宋体" w:hAnsi="宋体"/>
                <w:szCs w:val="21"/>
              </w:rPr>
              <w:t>工艺管道均埋地敷设，符合要求。</w:t>
            </w:r>
          </w:p>
        </w:tc>
        <w:tc>
          <w:tcPr>
            <w:tcW w:w="900" w:type="dxa"/>
            <w:vAlign w:val="center"/>
          </w:tcPr>
          <w:p w14:paraId="57110404">
            <w:pPr>
              <w:jc w:val="center"/>
              <w:rPr>
                <w:rFonts w:ascii="宋体" w:hAnsi="宋体"/>
                <w:szCs w:val="21"/>
              </w:rPr>
            </w:pPr>
            <w:r>
              <w:rPr>
                <w:rFonts w:ascii="宋体" w:hAnsi="宋体"/>
                <w:szCs w:val="21"/>
              </w:rPr>
              <w:t>符合</w:t>
            </w:r>
          </w:p>
        </w:tc>
      </w:tr>
      <w:tr w14:paraId="78D0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1CE3A2C">
            <w:pPr>
              <w:autoSpaceDE w:val="0"/>
              <w:autoSpaceDN w:val="0"/>
              <w:adjustRightInd w:val="0"/>
              <w:jc w:val="left"/>
              <w:rPr>
                <w:rFonts w:ascii="宋体" w:hAnsi="宋体"/>
                <w:kern w:val="0"/>
                <w:szCs w:val="21"/>
              </w:rPr>
            </w:pPr>
            <w:r>
              <w:rPr>
                <w:rFonts w:ascii="宋体" w:hAnsi="宋体"/>
                <w:kern w:val="0"/>
                <w:szCs w:val="21"/>
              </w:rPr>
              <w:t>卸油管道、卸油油气回收管道、加油油气回收管道和油罐通气管横管，应坡向埋地油罐。卸油管道的坡度不应小于2%</w:t>
            </w:r>
            <w:r>
              <w:rPr>
                <w:rFonts w:ascii="宋体" w:hAnsi="宋体"/>
                <w:kern w:val="0"/>
                <w:szCs w:val="21"/>
                <w:vertAlign w:val="subscript"/>
              </w:rPr>
              <w:t>0</w:t>
            </w:r>
            <w:r>
              <w:rPr>
                <w:rFonts w:ascii="宋体" w:hAnsi="宋体"/>
                <w:kern w:val="0"/>
                <w:szCs w:val="21"/>
              </w:rPr>
              <w:t>，卸油油气回收管道、加油油气回收管道和油罐通气管横管的坡度，不应小于1%。</w:t>
            </w:r>
          </w:p>
        </w:tc>
        <w:tc>
          <w:tcPr>
            <w:tcW w:w="1384" w:type="dxa"/>
            <w:vMerge w:val="continue"/>
          </w:tcPr>
          <w:p w14:paraId="66213F8C">
            <w:pPr>
              <w:jc w:val="center"/>
              <w:rPr>
                <w:rFonts w:ascii="宋体" w:hAnsi="宋体"/>
                <w:kern w:val="0"/>
                <w:szCs w:val="21"/>
              </w:rPr>
            </w:pPr>
          </w:p>
        </w:tc>
        <w:tc>
          <w:tcPr>
            <w:tcW w:w="2340" w:type="dxa"/>
            <w:vAlign w:val="center"/>
          </w:tcPr>
          <w:p w14:paraId="2C60E788">
            <w:pPr>
              <w:rPr>
                <w:rFonts w:ascii="宋体" w:hAnsi="宋体"/>
                <w:szCs w:val="21"/>
              </w:rPr>
            </w:pPr>
            <w:r>
              <w:rPr>
                <w:rFonts w:ascii="宋体" w:hAnsi="宋体"/>
                <w:kern w:val="0"/>
                <w:szCs w:val="21"/>
              </w:rPr>
              <w:t>卸油管道和油罐通气管横管，坡向埋地油罐，卸油管道的坡度大于2%</w:t>
            </w:r>
            <w:r>
              <w:rPr>
                <w:rFonts w:ascii="宋体" w:hAnsi="宋体"/>
                <w:kern w:val="0"/>
                <w:szCs w:val="21"/>
                <w:vertAlign w:val="subscript"/>
              </w:rPr>
              <w:t>0</w:t>
            </w:r>
            <w:r>
              <w:rPr>
                <w:rFonts w:ascii="宋体" w:hAnsi="宋体"/>
                <w:kern w:val="0"/>
                <w:szCs w:val="21"/>
              </w:rPr>
              <w:t>，油罐通气管横管的坡度，大于1%。</w:t>
            </w:r>
          </w:p>
        </w:tc>
        <w:tc>
          <w:tcPr>
            <w:tcW w:w="900" w:type="dxa"/>
            <w:vAlign w:val="center"/>
          </w:tcPr>
          <w:p w14:paraId="20C825CA">
            <w:pPr>
              <w:jc w:val="center"/>
              <w:rPr>
                <w:rFonts w:ascii="宋体" w:hAnsi="宋体"/>
                <w:szCs w:val="21"/>
              </w:rPr>
            </w:pPr>
            <w:r>
              <w:rPr>
                <w:rFonts w:ascii="宋体" w:hAnsi="宋体"/>
                <w:szCs w:val="21"/>
              </w:rPr>
              <w:t>符合</w:t>
            </w:r>
          </w:p>
        </w:tc>
      </w:tr>
      <w:tr w14:paraId="69FF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6CA072F">
            <w:pPr>
              <w:autoSpaceDE w:val="0"/>
              <w:autoSpaceDN w:val="0"/>
              <w:adjustRightInd w:val="0"/>
              <w:jc w:val="left"/>
              <w:rPr>
                <w:rFonts w:ascii="宋体" w:hAnsi="宋体"/>
                <w:kern w:val="0"/>
                <w:szCs w:val="21"/>
              </w:rPr>
            </w:pPr>
            <w:r>
              <w:rPr>
                <w:rFonts w:ascii="宋体" w:hAnsi="宋体"/>
                <w:kern w:val="0"/>
                <w:szCs w:val="21"/>
              </w:rPr>
              <w:t>受地形限制，加油油气回收管道破向油罐坡度无法满足本规范第6.3.14条的要求时，可在管道靠近油罐的位置设置集液器，且管道坡向集液器的坡度不应小于1%。</w:t>
            </w:r>
          </w:p>
        </w:tc>
        <w:tc>
          <w:tcPr>
            <w:tcW w:w="1384" w:type="dxa"/>
            <w:vMerge w:val="continue"/>
          </w:tcPr>
          <w:p w14:paraId="4239DE27">
            <w:pPr>
              <w:jc w:val="center"/>
              <w:rPr>
                <w:rFonts w:ascii="宋体" w:hAnsi="宋体"/>
                <w:szCs w:val="21"/>
              </w:rPr>
            </w:pPr>
          </w:p>
        </w:tc>
        <w:tc>
          <w:tcPr>
            <w:tcW w:w="2340" w:type="dxa"/>
            <w:vAlign w:val="center"/>
          </w:tcPr>
          <w:p w14:paraId="63D48D1A">
            <w:pPr>
              <w:rPr>
                <w:rFonts w:ascii="宋体" w:hAnsi="宋体"/>
                <w:szCs w:val="21"/>
              </w:rPr>
            </w:pPr>
            <w:r>
              <w:rPr>
                <w:rFonts w:hint="eastAsia" w:ascii="宋体" w:hAnsi="宋体"/>
                <w:szCs w:val="21"/>
              </w:rPr>
              <w:t>未涉及</w:t>
            </w:r>
            <w:r>
              <w:rPr>
                <w:rFonts w:ascii="宋体" w:hAnsi="宋体"/>
                <w:szCs w:val="21"/>
              </w:rPr>
              <w:t>。</w:t>
            </w:r>
          </w:p>
        </w:tc>
        <w:tc>
          <w:tcPr>
            <w:tcW w:w="900" w:type="dxa"/>
            <w:vAlign w:val="center"/>
          </w:tcPr>
          <w:p w14:paraId="7D71D4FA">
            <w:pPr>
              <w:jc w:val="center"/>
              <w:rPr>
                <w:rFonts w:ascii="宋体" w:hAnsi="宋体"/>
                <w:szCs w:val="21"/>
              </w:rPr>
            </w:pPr>
            <w:r>
              <w:rPr>
                <w:rFonts w:hint="eastAsia" w:ascii="宋体" w:hAnsi="宋体"/>
                <w:szCs w:val="21"/>
              </w:rPr>
              <w:t>符合</w:t>
            </w:r>
          </w:p>
        </w:tc>
      </w:tr>
      <w:tr w14:paraId="654D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ED140D3">
            <w:pPr>
              <w:autoSpaceDE w:val="0"/>
              <w:autoSpaceDN w:val="0"/>
              <w:adjustRightInd w:val="0"/>
              <w:jc w:val="left"/>
              <w:rPr>
                <w:rFonts w:ascii="宋体" w:hAnsi="宋体"/>
                <w:kern w:val="0"/>
                <w:szCs w:val="21"/>
              </w:rPr>
            </w:pPr>
            <w:r>
              <w:rPr>
                <w:rFonts w:ascii="宋体" w:hAnsi="宋体"/>
                <w:kern w:val="0"/>
                <w:szCs w:val="21"/>
              </w:rPr>
              <w:t>埋地工艺管道的埋设深度不得小于0.4m。敷设在混凝土厂场地或道路下面的管道，管顶低于混凝土层表面不得小于0.2m。管道周围应回填不小于100mm 厚的中性沙子或细土。</w:t>
            </w:r>
          </w:p>
        </w:tc>
        <w:tc>
          <w:tcPr>
            <w:tcW w:w="1384" w:type="dxa"/>
            <w:vMerge w:val="continue"/>
          </w:tcPr>
          <w:p w14:paraId="1FBDE7A2">
            <w:pPr>
              <w:jc w:val="center"/>
              <w:rPr>
                <w:rFonts w:ascii="宋体" w:hAnsi="宋体"/>
                <w:kern w:val="0"/>
                <w:szCs w:val="21"/>
              </w:rPr>
            </w:pPr>
          </w:p>
        </w:tc>
        <w:tc>
          <w:tcPr>
            <w:tcW w:w="2340" w:type="dxa"/>
            <w:vAlign w:val="center"/>
          </w:tcPr>
          <w:p w14:paraId="5F5FA49D">
            <w:pPr>
              <w:rPr>
                <w:rFonts w:hint="default" w:ascii="宋体" w:hAnsi="宋体" w:eastAsia="宋体"/>
                <w:kern w:val="0"/>
                <w:szCs w:val="21"/>
                <w:lang w:val="en-US" w:eastAsia="zh-CN"/>
              </w:rPr>
            </w:pPr>
            <w:r>
              <w:rPr>
                <w:rFonts w:hint="eastAsia" w:ascii="宋体" w:hAnsi="宋体"/>
                <w:kern w:val="0"/>
                <w:szCs w:val="21"/>
              </w:rPr>
              <w:t>油</w:t>
            </w:r>
            <w:r>
              <w:rPr>
                <w:rFonts w:ascii="宋体" w:hAnsi="宋体"/>
                <w:kern w:val="0"/>
                <w:szCs w:val="21"/>
              </w:rPr>
              <w:t>罐</w:t>
            </w:r>
            <w:r>
              <w:rPr>
                <w:rFonts w:hint="eastAsia" w:ascii="宋体" w:hAnsi="宋体"/>
                <w:kern w:val="0"/>
                <w:szCs w:val="21"/>
                <w:lang w:val="en-US" w:eastAsia="zh-CN"/>
              </w:rPr>
              <w:t>位于行车道下</w:t>
            </w:r>
          </w:p>
        </w:tc>
        <w:tc>
          <w:tcPr>
            <w:tcW w:w="900" w:type="dxa"/>
            <w:vAlign w:val="center"/>
          </w:tcPr>
          <w:p w14:paraId="026B5D2B">
            <w:pPr>
              <w:jc w:val="center"/>
              <w:rPr>
                <w:rFonts w:ascii="宋体" w:hAnsi="宋体"/>
                <w:szCs w:val="21"/>
              </w:rPr>
            </w:pPr>
            <w:r>
              <w:rPr>
                <w:rFonts w:hint="eastAsia" w:ascii="宋体" w:hAnsi="宋体"/>
                <w:szCs w:val="21"/>
              </w:rPr>
              <w:t>符合</w:t>
            </w:r>
          </w:p>
        </w:tc>
      </w:tr>
      <w:tr w14:paraId="7FD2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037586B">
            <w:pPr>
              <w:autoSpaceDE w:val="0"/>
              <w:autoSpaceDN w:val="0"/>
              <w:adjustRightInd w:val="0"/>
              <w:jc w:val="left"/>
              <w:rPr>
                <w:rFonts w:ascii="宋体" w:hAnsi="宋体"/>
                <w:kern w:val="0"/>
                <w:szCs w:val="21"/>
              </w:rPr>
            </w:pPr>
            <w:r>
              <w:rPr>
                <w:rFonts w:ascii="宋体" w:hAnsi="宋体"/>
                <w:kern w:val="0"/>
                <w:szCs w:val="21"/>
              </w:rPr>
              <w:t>工艺管道不应穿过或跨越站房等与其无直接关系的建构筑物，与管沟、电缆沟和排水沟相交叉时，应采取相应的防护措施。</w:t>
            </w:r>
          </w:p>
        </w:tc>
        <w:tc>
          <w:tcPr>
            <w:tcW w:w="1384" w:type="dxa"/>
            <w:vMerge w:val="continue"/>
          </w:tcPr>
          <w:p w14:paraId="42C07DEF">
            <w:pPr>
              <w:jc w:val="center"/>
              <w:rPr>
                <w:rFonts w:ascii="宋体" w:hAnsi="宋体"/>
                <w:kern w:val="0"/>
                <w:szCs w:val="21"/>
              </w:rPr>
            </w:pPr>
          </w:p>
        </w:tc>
        <w:tc>
          <w:tcPr>
            <w:tcW w:w="2340" w:type="dxa"/>
            <w:vAlign w:val="center"/>
          </w:tcPr>
          <w:p w14:paraId="0CA8D17E">
            <w:pPr>
              <w:rPr>
                <w:rFonts w:ascii="宋体" w:hAnsi="宋体"/>
                <w:kern w:val="0"/>
                <w:szCs w:val="21"/>
              </w:rPr>
            </w:pPr>
            <w:r>
              <w:rPr>
                <w:rFonts w:ascii="宋体" w:hAnsi="宋体"/>
                <w:kern w:val="0"/>
                <w:szCs w:val="21"/>
              </w:rPr>
              <w:t>工艺管道未穿过或跨越站房等建（构）筑物。</w:t>
            </w:r>
          </w:p>
        </w:tc>
        <w:tc>
          <w:tcPr>
            <w:tcW w:w="900" w:type="dxa"/>
            <w:vAlign w:val="center"/>
          </w:tcPr>
          <w:p w14:paraId="60C88829">
            <w:pPr>
              <w:jc w:val="center"/>
              <w:rPr>
                <w:rFonts w:ascii="宋体" w:hAnsi="宋体"/>
                <w:szCs w:val="21"/>
              </w:rPr>
            </w:pPr>
            <w:r>
              <w:rPr>
                <w:rFonts w:ascii="宋体" w:hAnsi="宋体"/>
                <w:szCs w:val="21"/>
              </w:rPr>
              <w:t>符合</w:t>
            </w:r>
          </w:p>
        </w:tc>
      </w:tr>
      <w:tr w14:paraId="380F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D5944E8">
            <w:pPr>
              <w:tabs>
                <w:tab w:val="left" w:pos="315"/>
              </w:tabs>
              <w:autoSpaceDE w:val="0"/>
              <w:autoSpaceDN w:val="0"/>
              <w:adjustRightInd w:val="0"/>
              <w:jc w:val="left"/>
              <w:rPr>
                <w:rFonts w:ascii="宋体" w:hAnsi="宋体"/>
                <w:szCs w:val="21"/>
                <w:lang w:val="zh-CN"/>
              </w:rPr>
            </w:pPr>
            <w:r>
              <w:rPr>
                <w:rFonts w:ascii="宋体" w:hAnsi="宋体"/>
                <w:szCs w:val="21"/>
                <w:lang w:val="zh-CN"/>
              </w:rPr>
              <w:t>不导静电热塑性塑料管道的设计和安装，除应符合</w:t>
            </w:r>
            <w:r>
              <w:rPr>
                <w:rFonts w:hint="eastAsia" w:ascii="宋体" w:hAnsi="宋体"/>
                <w:szCs w:val="21"/>
                <w:lang w:val="zh-CN"/>
              </w:rPr>
              <w:t>《汽车加油加气加氢站技术标准》（GB50156-2021）</w:t>
            </w:r>
            <w:r>
              <w:rPr>
                <w:rFonts w:ascii="宋体" w:hAnsi="宋体"/>
                <w:szCs w:val="21"/>
                <w:lang w:val="zh-CN"/>
              </w:rPr>
              <w:t>第6.3.</w:t>
            </w:r>
            <w:r>
              <w:rPr>
                <w:rFonts w:hint="eastAsia" w:ascii="宋体" w:hAnsi="宋体"/>
                <w:szCs w:val="21"/>
                <w:lang w:val="zh-CN"/>
              </w:rPr>
              <w:t>12</w:t>
            </w:r>
            <w:r>
              <w:rPr>
                <w:rFonts w:ascii="宋体" w:hAnsi="宋体"/>
                <w:szCs w:val="21"/>
                <w:lang w:val="zh-CN"/>
              </w:rPr>
              <w:t>条的有关规定外，尚应符合下列规定：</w:t>
            </w:r>
          </w:p>
          <w:p w14:paraId="587C8451">
            <w:pPr>
              <w:numPr>
                <w:ilvl w:val="0"/>
                <w:numId w:val="8"/>
              </w:numPr>
              <w:autoSpaceDE w:val="0"/>
              <w:autoSpaceDN w:val="0"/>
              <w:adjustRightInd w:val="0"/>
              <w:jc w:val="left"/>
              <w:rPr>
                <w:rFonts w:ascii="宋体" w:hAnsi="宋体"/>
                <w:szCs w:val="21"/>
                <w:lang w:val="zh-CN"/>
              </w:rPr>
            </w:pPr>
            <w:r>
              <w:rPr>
                <w:rFonts w:ascii="宋体" w:hAnsi="宋体"/>
                <w:szCs w:val="21"/>
                <w:lang w:val="zh-CN"/>
              </w:rPr>
              <w:t>管道内油品的流速应小于2.8m/s。</w:t>
            </w:r>
          </w:p>
          <w:p w14:paraId="05441FC7">
            <w:pPr>
              <w:numPr>
                <w:ilvl w:val="0"/>
                <w:numId w:val="8"/>
              </w:numPr>
              <w:autoSpaceDE w:val="0"/>
              <w:autoSpaceDN w:val="0"/>
              <w:adjustRightInd w:val="0"/>
              <w:jc w:val="left"/>
              <w:rPr>
                <w:rFonts w:ascii="宋体" w:hAnsi="宋体"/>
                <w:kern w:val="0"/>
                <w:szCs w:val="21"/>
              </w:rPr>
            </w:pPr>
            <w:r>
              <w:rPr>
                <w:rFonts w:ascii="宋体" w:hAnsi="宋体"/>
                <w:szCs w:val="21"/>
                <w:lang w:val="zh-CN"/>
              </w:rPr>
              <w:t>管道在人孔井内、加油机底槽和卸油口等处未完全埋地的部分，应在满足管道连接按要求的前提下，采用最短的安装长度和最少的接头。</w:t>
            </w:r>
          </w:p>
        </w:tc>
        <w:tc>
          <w:tcPr>
            <w:tcW w:w="1384" w:type="dxa"/>
            <w:vMerge w:val="continue"/>
          </w:tcPr>
          <w:p w14:paraId="43069EFF">
            <w:pPr>
              <w:jc w:val="center"/>
              <w:rPr>
                <w:rFonts w:ascii="宋体" w:hAnsi="宋体"/>
                <w:kern w:val="0"/>
                <w:szCs w:val="21"/>
              </w:rPr>
            </w:pPr>
          </w:p>
        </w:tc>
        <w:tc>
          <w:tcPr>
            <w:tcW w:w="2340" w:type="dxa"/>
            <w:vAlign w:val="center"/>
          </w:tcPr>
          <w:p w14:paraId="054B8294">
            <w:pPr>
              <w:rPr>
                <w:rFonts w:ascii="宋体" w:hAnsi="宋体"/>
                <w:kern w:val="0"/>
                <w:szCs w:val="21"/>
              </w:rPr>
            </w:pPr>
            <w:r>
              <w:rPr>
                <w:rFonts w:ascii="宋体" w:hAnsi="宋体"/>
                <w:kern w:val="0"/>
                <w:szCs w:val="21"/>
              </w:rPr>
              <w:t>未涉及不导静电热塑性塑料管道的设计和安装。</w:t>
            </w:r>
          </w:p>
        </w:tc>
        <w:tc>
          <w:tcPr>
            <w:tcW w:w="900" w:type="dxa"/>
            <w:vAlign w:val="center"/>
          </w:tcPr>
          <w:p w14:paraId="79DB2C92">
            <w:pPr>
              <w:jc w:val="center"/>
              <w:rPr>
                <w:rFonts w:ascii="宋体" w:hAnsi="宋体"/>
                <w:szCs w:val="21"/>
              </w:rPr>
            </w:pPr>
            <w:r>
              <w:rPr>
                <w:rFonts w:ascii="宋体" w:hAnsi="宋体"/>
                <w:szCs w:val="21"/>
              </w:rPr>
              <w:t>未涉及</w:t>
            </w:r>
          </w:p>
        </w:tc>
      </w:tr>
      <w:tr w14:paraId="4B94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79A4CD7">
            <w:pPr>
              <w:autoSpaceDE w:val="0"/>
              <w:autoSpaceDN w:val="0"/>
              <w:adjustRightInd w:val="0"/>
              <w:jc w:val="left"/>
              <w:rPr>
                <w:rFonts w:ascii="宋体" w:hAnsi="宋体"/>
                <w:kern w:val="0"/>
                <w:szCs w:val="21"/>
              </w:rPr>
            </w:pPr>
            <w:r>
              <w:rPr>
                <w:rFonts w:ascii="宋体" w:hAnsi="宋体"/>
                <w:kern w:val="0"/>
                <w:szCs w:val="21"/>
              </w:rPr>
              <w:t>埋地钢制管道外表面的防腐设计，应符合现行国家标准《钢制管道外腐蚀控制规范》（GB/T21447）的有关规定</w:t>
            </w:r>
          </w:p>
        </w:tc>
        <w:tc>
          <w:tcPr>
            <w:tcW w:w="1384" w:type="dxa"/>
            <w:vMerge w:val="continue"/>
          </w:tcPr>
          <w:p w14:paraId="23CED811">
            <w:pPr>
              <w:jc w:val="center"/>
              <w:rPr>
                <w:rFonts w:ascii="宋体" w:hAnsi="宋体"/>
                <w:kern w:val="0"/>
                <w:szCs w:val="21"/>
              </w:rPr>
            </w:pPr>
          </w:p>
        </w:tc>
        <w:tc>
          <w:tcPr>
            <w:tcW w:w="2340" w:type="dxa"/>
            <w:vAlign w:val="center"/>
          </w:tcPr>
          <w:p w14:paraId="7E637993">
            <w:pPr>
              <w:rPr>
                <w:rFonts w:ascii="宋体" w:hAnsi="宋体"/>
                <w:kern w:val="0"/>
                <w:szCs w:val="21"/>
              </w:rPr>
            </w:pPr>
            <w:r>
              <w:rPr>
                <w:rFonts w:ascii="宋体" w:hAnsi="宋体"/>
                <w:kern w:val="0"/>
                <w:szCs w:val="21"/>
              </w:rPr>
              <w:t>管道外表面的防腐设计符合要求。</w:t>
            </w:r>
          </w:p>
        </w:tc>
        <w:tc>
          <w:tcPr>
            <w:tcW w:w="900" w:type="dxa"/>
            <w:vAlign w:val="center"/>
          </w:tcPr>
          <w:p w14:paraId="174D31EA">
            <w:pPr>
              <w:jc w:val="center"/>
              <w:rPr>
                <w:rFonts w:ascii="宋体" w:hAnsi="宋体"/>
                <w:szCs w:val="21"/>
              </w:rPr>
            </w:pPr>
            <w:r>
              <w:rPr>
                <w:rFonts w:ascii="宋体" w:hAnsi="宋体"/>
                <w:szCs w:val="21"/>
              </w:rPr>
              <w:t>符合</w:t>
            </w:r>
          </w:p>
        </w:tc>
      </w:tr>
      <w:tr w14:paraId="6BD6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02B084D3">
            <w:pPr>
              <w:jc w:val="center"/>
              <w:rPr>
                <w:rFonts w:ascii="宋体" w:hAnsi="宋体"/>
                <w:szCs w:val="21"/>
              </w:rPr>
            </w:pPr>
            <w:r>
              <w:rPr>
                <w:rFonts w:ascii="宋体" w:hAnsi="宋体"/>
                <w:szCs w:val="21"/>
              </w:rPr>
              <w:t>防渗措施</w:t>
            </w:r>
          </w:p>
        </w:tc>
      </w:tr>
      <w:tr w14:paraId="5105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5A405FC">
            <w:pPr>
              <w:rPr>
                <w:rFonts w:ascii="宋体" w:hAnsi="宋体"/>
                <w:kern w:val="0"/>
                <w:szCs w:val="21"/>
              </w:rPr>
            </w:pPr>
            <w:r>
              <w:rPr>
                <w:rFonts w:ascii="宋体" w:hAnsi="宋体"/>
                <w:kern w:val="0"/>
                <w:szCs w:val="21"/>
              </w:rPr>
              <w:t>采取防止油品渗漏保护措施的加油站，其埋地油罐应采用下列之一的防渗方式：</w:t>
            </w:r>
          </w:p>
          <w:p w14:paraId="1F9DF6EE">
            <w:pPr>
              <w:rPr>
                <w:rFonts w:ascii="宋体" w:hAnsi="宋体"/>
                <w:kern w:val="0"/>
                <w:szCs w:val="21"/>
              </w:rPr>
            </w:pPr>
            <w:r>
              <w:rPr>
                <w:rFonts w:ascii="宋体" w:hAnsi="宋体"/>
                <w:kern w:val="0"/>
                <w:szCs w:val="21"/>
              </w:rPr>
              <w:t>1）单层油罐设置防渗罐池。</w:t>
            </w:r>
          </w:p>
          <w:p w14:paraId="7BC3882B">
            <w:pPr>
              <w:rPr>
                <w:rFonts w:ascii="宋体" w:hAnsi="宋体"/>
                <w:kern w:val="0"/>
                <w:szCs w:val="21"/>
              </w:rPr>
            </w:pPr>
            <w:r>
              <w:rPr>
                <w:rFonts w:ascii="宋体" w:hAnsi="宋体"/>
                <w:kern w:val="0"/>
                <w:szCs w:val="21"/>
              </w:rPr>
              <w:t>2）采用双层油罐。</w:t>
            </w:r>
          </w:p>
        </w:tc>
        <w:tc>
          <w:tcPr>
            <w:tcW w:w="1384" w:type="dxa"/>
            <w:vMerge w:val="restart"/>
          </w:tcPr>
          <w:p w14:paraId="51F50E29">
            <w:pPr>
              <w:jc w:val="center"/>
              <w:rPr>
                <w:rFonts w:ascii="宋体" w:hAnsi="宋体"/>
                <w:szCs w:val="21"/>
              </w:rPr>
            </w:pPr>
            <w:r>
              <w:rPr>
                <w:rFonts w:hint="eastAsia" w:ascii="宋体" w:hAnsi="宋体"/>
                <w:kern w:val="0"/>
                <w:szCs w:val="21"/>
              </w:rPr>
              <w:t>《汽车加油加气加氢站技术标准》（GB50156-2021）</w:t>
            </w:r>
          </w:p>
        </w:tc>
        <w:tc>
          <w:tcPr>
            <w:tcW w:w="2340" w:type="dxa"/>
            <w:vAlign w:val="center"/>
          </w:tcPr>
          <w:p w14:paraId="5E8CA44C">
            <w:pPr>
              <w:rPr>
                <w:rFonts w:ascii="宋体" w:hAnsi="宋体"/>
                <w:szCs w:val="21"/>
              </w:rPr>
            </w:pPr>
            <w:r>
              <w:rPr>
                <w:rFonts w:hint="eastAsia" w:ascii="宋体" w:hAnsi="宋体"/>
                <w:szCs w:val="21"/>
              </w:rPr>
              <w:t>采用双层SF油罐</w:t>
            </w:r>
          </w:p>
        </w:tc>
        <w:tc>
          <w:tcPr>
            <w:tcW w:w="900" w:type="dxa"/>
            <w:vAlign w:val="center"/>
          </w:tcPr>
          <w:p w14:paraId="2127EABE">
            <w:pPr>
              <w:jc w:val="center"/>
              <w:rPr>
                <w:rFonts w:ascii="宋体" w:hAnsi="宋体"/>
                <w:szCs w:val="21"/>
              </w:rPr>
            </w:pPr>
            <w:r>
              <w:rPr>
                <w:rFonts w:ascii="宋体" w:hAnsi="宋体"/>
                <w:szCs w:val="21"/>
              </w:rPr>
              <w:t>符合</w:t>
            </w:r>
          </w:p>
        </w:tc>
      </w:tr>
      <w:tr w14:paraId="2C78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A2045FB">
            <w:pPr>
              <w:rPr>
                <w:rFonts w:ascii="宋体" w:hAnsi="宋体"/>
                <w:kern w:val="0"/>
                <w:szCs w:val="21"/>
              </w:rPr>
            </w:pPr>
            <w:r>
              <w:rPr>
                <w:rFonts w:ascii="宋体" w:hAnsi="宋体"/>
                <w:kern w:val="0"/>
                <w:szCs w:val="21"/>
              </w:rPr>
              <w:t>防渗罐池的设计应符合《汽车加油加气加氢站技术标准》（GB50156-2021）第6.5.</w:t>
            </w:r>
            <w:r>
              <w:rPr>
                <w:rFonts w:hint="eastAsia" w:ascii="宋体" w:hAnsi="宋体"/>
                <w:kern w:val="0"/>
                <w:szCs w:val="21"/>
              </w:rPr>
              <w:t>2</w:t>
            </w:r>
            <w:r>
              <w:rPr>
                <w:rFonts w:ascii="宋体" w:hAnsi="宋体"/>
                <w:kern w:val="0"/>
                <w:szCs w:val="21"/>
              </w:rPr>
              <w:t>条的规定。</w:t>
            </w:r>
          </w:p>
        </w:tc>
        <w:tc>
          <w:tcPr>
            <w:tcW w:w="1384" w:type="dxa"/>
            <w:vMerge w:val="continue"/>
          </w:tcPr>
          <w:p w14:paraId="775C8F1D">
            <w:pPr>
              <w:jc w:val="center"/>
              <w:rPr>
                <w:rFonts w:ascii="宋体" w:hAnsi="宋体"/>
                <w:szCs w:val="21"/>
              </w:rPr>
            </w:pPr>
          </w:p>
        </w:tc>
        <w:tc>
          <w:tcPr>
            <w:tcW w:w="2340" w:type="dxa"/>
            <w:vAlign w:val="center"/>
          </w:tcPr>
          <w:p w14:paraId="0CED29EE">
            <w:pPr>
              <w:rPr>
                <w:rFonts w:ascii="宋体" w:hAnsi="宋体"/>
                <w:szCs w:val="21"/>
              </w:rPr>
            </w:pPr>
            <w:r>
              <w:rPr>
                <w:rFonts w:hint="eastAsia" w:ascii="宋体" w:hAnsi="宋体"/>
                <w:szCs w:val="21"/>
              </w:rPr>
              <w:t>采用双层SF油罐</w:t>
            </w:r>
          </w:p>
        </w:tc>
        <w:tc>
          <w:tcPr>
            <w:tcW w:w="900" w:type="dxa"/>
            <w:vAlign w:val="center"/>
          </w:tcPr>
          <w:p w14:paraId="2FB553FA">
            <w:pPr>
              <w:jc w:val="center"/>
              <w:rPr>
                <w:rFonts w:ascii="宋体" w:hAnsi="宋体"/>
                <w:szCs w:val="21"/>
              </w:rPr>
            </w:pPr>
            <w:r>
              <w:rPr>
                <w:rFonts w:ascii="宋体" w:hAnsi="宋体"/>
                <w:szCs w:val="21"/>
              </w:rPr>
              <w:t>符合</w:t>
            </w:r>
          </w:p>
        </w:tc>
      </w:tr>
      <w:tr w14:paraId="11E2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B1C867">
            <w:pPr>
              <w:rPr>
                <w:rFonts w:ascii="宋体" w:hAnsi="宋体"/>
                <w:kern w:val="0"/>
                <w:szCs w:val="21"/>
              </w:rPr>
            </w:pPr>
            <w:r>
              <w:rPr>
                <w:rFonts w:ascii="宋体" w:hAnsi="宋体"/>
                <w:kern w:val="0"/>
                <w:szCs w:val="21"/>
              </w:rPr>
              <w:t>防渗罐池的各隔油池内应设检测立管，检测立管的设置应符合</w:t>
            </w:r>
            <w:r>
              <w:rPr>
                <w:rFonts w:hint="eastAsia" w:ascii="宋体" w:hAnsi="宋体"/>
                <w:kern w:val="0"/>
                <w:szCs w:val="21"/>
              </w:rPr>
              <w:t>《汽车加油加气加氢站技术标准》（GB50156-2021）</w:t>
            </w:r>
            <w:r>
              <w:rPr>
                <w:rFonts w:ascii="宋体" w:hAnsi="宋体"/>
                <w:kern w:val="0"/>
                <w:szCs w:val="21"/>
              </w:rPr>
              <w:t xml:space="preserve"> 第6.5.</w:t>
            </w:r>
            <w:r>
              <w:rPr>
                <w:rFonts w:hint="eastAsia" w:ascii="宋体" w:hAnsi="宋体"/>
                <w:kern w:val="0"/>
                <w:szCs w:val="21"/>
              </w:rPr>
              <w:t>3</w:t>
            </w:r>
            <w:r>
              <w:rPr>
                <w:rFonts w:ascii="宋体" w:hAnsi="宋体"/>
                <w:kern w:val="0"/>
                <w:szCs w:val="21"/>
              </w:rPr>
              <w:t>条的规定。</w:t>
            </w:r>
          </w:p>
        </w:tc>
        <w:tc>
          <w:tcPr>
            <w:tcW w:w="1384" w:type="dxa"/>
            <w:vMerge w:val="continue"/>
          </w:tcPr>
          <w:p w14:paraId="189CBB29">
            <w:pPr>
              <w:jc w:val="center"/>
              <w:rPr>
                <w:rFonts w:ascii="宋体" w:hAnsi="宋体"/>
                <w:kern w:val="0"/>
                <w:szCs w:val="21"/>
              </w:rPr>
            </w:pPr>
          </w:p>
        </w:tc>
        <w:tc>
          <w:tcPr>
            <w:tcW w:w="2340" w:type="dxa"/>
            <w:vAlign w:val="center"/>
          </w:tcPr>
          <w:p w14:paraId="48664F53">
            <w:pPr>
              <w:rPr>
                <w:rFonts w:ascii="宋体" w:hAnsi="宋体"/>
                <w:szCs w:val="21"/>
              </w:rPr>
            </w:pPr>
            <w:r>
              <w:rPr>
                <w:rFonts w:hint="eastAsia" w:ascii="宋体" w:hAnsi="宋体"/>
                <w:szCs w:val="21"/>
              </w:rPr>
              <w:t>采用双层SF油罐</w:t>
            </w:r>
          </w:p>
        </w:tc>
        <w:tc>
          <w:tcPr>
            <w:tcW w:w="900" w:type="dxa"/>
            <w:vAlign w:val="center"/>
          </w:tcPr>
          <w:p w14:paraId="7C6A3B3E">
            <w:pPr>
              <w:jc w:val="center"/>
              <w:rPr>
                <w:rFonts w:ascii="宋体" w:hAnsi="宋体"/>
                <w:szCs w:val="21"/>
              </w:rPr>
            </w:pPr>
            <w:r>
              <w:rPr>
                <w:rFonts w:ascii="宋体" w:hAnsi="宋体"/>
                <w:szCs w:val="21"/>
              </w:rPr>
              <w:t>符合</w:t>
            </w:r>
          </w:p>
        </w:tc>
      </w:tr>
      <w:tr w14:paraId="1707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6E560AE">
            <w:pPr>
              <w:rPr>
                <w:rFonts w:ascii="宋体" w:hAnsi="宋体"/>
                <w:kern w:val="0"/>
                <w:szCs w:val="21"/>
              </w:rPr>
            </w:pPr>
            <w:r>
              <w:rPr>
                <w:rFonts w:ascii="宋体" w:hAnsi="宋体"/>
                <w:kern w:val="0"/>
                <w:szCs w:val="21"/>
              </w:rPr>
              <w:t>装有潜油泵的油罐人孔操作井、卸油口井、加油机底槽等可能发生油品渗漏的部位，也应采取相应的防渗漏措施。</w:t>
            </w:r>
          </w:p>
        </w:tc>
        <w:tc>
          <w:tcPr>
            <w:tcW w:w="1384" w:type="dxa"/>
            <w:vMerge w:val="continue"/>
          </w:tcPr>
          <w:p w14:paraId="727BA6E6">
            <w:pPr>
              <w:jc w:val="center"/>
              <w:rPr>
                <w:rFonts w:ascii="宋体" w:hAnsi="宋体"/>
                <w:szCs w:val="21"/>
              </w:rPr>
            </w:pPr>
          </w:p>
        </w:tc>
        <w:tc>
          <w:tcPr>
            <w:tcW w:w="2340" w:type="dxa"/>
            <w:vAlign w:val="center"/>
          </w:tcPr>
          <w:p w14:paraId="4318B381">
            <w:pPr>
              <w:rPr>
                <w:rFonts w:ascii="宋体" w:hAnsi="宋体"/>
                <w:szCs w:val="21"/>
              </w:rPr>
            </w:pPr>
            <w:r>
              <w:rPr>
                <w:rFonts w:hint="eastAsia" w:ascii="宋体" w:hAnsi="宋体"/>
                <w:szCs w:val="21"/>
              </w:rPr>
              <w:t>采用双层SF油罐</w:t>
            </w:r>
          </w:p>
        </w:tc>
        <w:tc>
          <w:tcPr>
            <w:tcW w:w="900" w:type="dxa"/>
            <w:vAlign w:val="center"/>
          </w:tcPr>
          <w:p w14:paraId="644D2272">
            <w:pPr>
              <w:jc w:val="center"/>
              <w:rPr>
                <w:rFonts w:ascii="宋体" w:hAnsi="宋体"/>
                <w:szCs w:val="21"/>
              </w:rPr>
            </w:pPr>
            <w:r>
              <w:rPr>
                <w:rFonts w:ascii="宋体" w:hAnsi="宋体"/>
                <w:szCs w:val="21"/>
              </w:rPr>
              <w:t>符合</w:t>
            </w:r>
          </w:p>
        </w:tc>
      </w:tr>
      <w:tr w14:paraId="759D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5B33C72">
            <w:pPr>
              <w:rPr>
                <w:rFonts w:ascii="宋体" w:hAnsi="宋体"/>
                <w:kern w:val="0"/>
                <w:szCs w:val="21"/>
              </w:rPr>
            </w:pPr>
            <w:r>
              <w:rPr>
                <w:rFonts w:hint="eastAsia" w:ascii="宋体" w:hAnsi="宋体"/>
                <w:kern w:val="0"/>
                <w:szCs w:val="21"/>
              </w:rPr>
              <w:t>加油站埋地加油管道应采用双层管道，双层管道的设计应符合</w:t>
            </w:r>
            <w:r>
              <w:rPr>
                <w:rFonts w:ascii="宋体" w:hAnsi="宋体"/>
                <w:kern w:val="0"/>
                <w:szCs w:val="21"/>
              </w:rPr>
              <w:t>《汽车加油加气加氢站技术标准》（GB50156-2021） 第6.5.</w:t>
            </w:r>
            <w:r>
              <w:rPr>
                <w:rFonts w:hint="eastAsia" w:ascii="宋体" w:hAnsi="宋体"/>
                <w:kern w:val="0"/>
                <w:szCs w:val="21"/>
              </w:rPr>
              <w:t>5</w:t>
            </w:r>
            <w:r>
              <w:rPr>
                <w:rFonts w:ascii="宋体" w:hAnsi="宋体"/>
                <w:kern w:val="0"/>
                <w:szCs w:val="21"/>
              </w:rPr>
              <w:t>条的规定。</w:t>
            </w:r>
          </w:p>
        </w:tc>
        <w:tc>
          <w:tcPr>
            <w:tcW w:w="1384" w:type="dxa"/>
            <w:vMerge w:val="continue"/>
          </w:tcPr>
          <w:p w14:paraId="6A903216">
            <w:pPr>
              <w:jc w:val="center"/>
              <w:rPr>
                <w:rFonts w:ascii="宋体" w:hAnsi="宋体"/>
                <w:kern w:val="0"/>
                <w:szCs w:val="21"/>
              </w:rPr>
            </w:pPr>
          </w:p>
        </w:tc>
        <w:tc>
          <w:tcPr>
            <w:tcW w:w="2340" w:type="dxa"/>
            <w:vAlign w:val="center"/>
          </w:tcPr>
          <w:p w14:paraId="03A6549C">
            <w:pPr>
              <w:rPr>
                <w:rFonts w:ascii="宋体" w:hAnsi="宋体"/>
                <w:szCs w:val="21"/>
              </w:rPr>
            </w:pPr>
            <w:r>
              <w:rPr>
                <w:rFonts w:hint="eastAsia" w:ascii="宋体" w:hAnsi="宋体"/>
                <w:szCs w:val="21"/>
              </w:rPr>
              <w:t>采用双层SF油罐</w:t>
            </w:r>
          </w:p>
        </w:tc>
        <w:tc>
          <w:tcPr>
            <w:tcW w:w="900" w:type="dxa"/>
            <w:vAlign w:val="center"/>
          </w:tcPr>
          <w:p w14:paraId="73A88B65">
            <w:pPr>
              <w:jc w:val="center"/>
              <w:rPr>
                <w:rFonts w:ascii="宋体" w:hAnsi="宋体"/>
                <w:szCs w:val="21"/>
              </w:rPr>
            </w:pPr>
            <w:r>
              <w:rPr>
                <w:rFonts w:ascii="宋体" w:hAnsi="宋体"/>
                <w:szCs w:val="21"/>
              </w:rPr>
              <w:t>符合</w:t>
            </w:r>
          </w:p>
        </w:tc>
      </w:tr>
      <w:tr w14:paraId="0629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F187C85">
            <w:pPr>
              <w:rPr>
                <w:rFonts w:ascii="宋体" w:hAnsi="宋体"/>
                <w:kern w:val="0"/>
                <w:szCs w:val="21"/>
              </w:rPr>
            </w:pPr>
            <w:r>
              <w:rPr>
                <w:rFonts w:hint="eastAsia" w:ascii="宋体" w:hAnsi="宋体"/>
                <w:kern w:val="0"/>
                <w:szCs w:val="21"/>
              </w:rPr>
              <w:t>双层油罐、防渗漏罐池的渗漏检测宜采用在线检测系统，采用液体传感器检测时，传感器的检测精度不应大于3.5mm。</w:t>
            </w:r>
          </w:p>
        </w:tc>
        <w:tc>
          <w:tcPr>
            <w:tcW w:w="1384" w:type="dxa"/>
            <w:vMerge w:val="continue"/>
          </w:tcPr>
          <w:p w14:paraId="17B5609E">
            <w:pPr>
              <w:jc w:val="center"/>
              <w:rPr>
                <w:rFonts w:ascii="宋体" w:hAnsi="宋体"/>
                <w:kern w:val="0"/>
                <w:szCs w:val="21"/>
              </w:rPr>
            </w:pPr>
          </w:p>
        </w:tc>
        <w:tc>
          <w:tcPr>
            <w:tcW w:w="2340" w:type="dxa"/>
            <w:vAlign w:val="center"/>
          </w:tcPr>
          <w:p w14:paraId="60CF3B67">
            <w:pPr>
              <w:rPr>
                <w:rFonts w:ascii="宋体" w:hAnsi="宋体"/>
                <w:szCs w:val="21"/>
              </w:rPr>
            </w:pPr>
            <w:r>
              <w:rPr>
                <w:rFonts w:hint="eastAsia" w:ascii="宋体" w:hAnsi="宋体"/>
                <w:kern w:val="0"/>
                <w:szCs w:val="21"/>
              </w:rPr>
              <w:t>采用液体传感器检测</w:t>
            </w:r>
          </w:p>
        </w:tc>
        <w:tc>
          <w:tcPr>
            <w:tcW w:w="900" w:type="dxa"/>
            <w:vAlign w:val="center"/>
          </w:tcPr>
          <w:p w14:paraId="34DB4E0B">
            <w:pPr>
              <w:jc w:val="center"/>
              <w:rPr>
                <w:rFonts w:ascii="宋体" w:hAnsi="宋体"/>
                <w:szCs w:val="21"/>
              </w:rPr>
            </w:pPr>
            <w:r>
              <w:rPr>
                <w:rFonts w:hint="eastAsia" w:ascii="宋体" w:hAnsi="宋体"/>
                <w:szCs w:val="21"/>
              </w:rPr>
              <w:t>符合</w:t>
            </w:r>
          </w:p>
        </w:tc>
      </w:tr>
    </w:tbl>
    <w:p w14:paraId="5BCC601A">
      <w:pPr>
        <w:pStyle w:val="4"/>
        <w:spacing w:afterLines="100" w:line="500" w:lineRule="exact"/>
        <w:rPr>
          <w:rFonts w:ascii="宋体" w:hAnsi="宋体" w:eastAsia="宋体"/>
          <w:kern w:val="3"/>
          <w:sz w:val="24"/>
          <w:szCs w:val="24"/>
        </w:rPr>
      </w:pPr>
      <w:bookmarkStart w:id="464" w:name="_Toc71894947"/>
      <w:r>
        <w:rPr>
          <w:rFonts w:hint="eastAsia" w:ascii="宋体" w:hAnsi="宋体" w:eastAsia="宋体"/>
          <w:kern w:val="3"/>
          <w:sz w:val="24"/>
          <w:szCs w:val="24"/>
        </w:rPr>
        <w:t>6.3.2小结</w:t>
      </w:r>
      <w:bookmarkEnd w:id="464"/>
    </w:p>
    <w:p w14:paraId="68BE393B">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加油站采用潜油泵式加油机</w:t>
      </w:r>
      <w:r>
        <w:rPr>
          <w:rFonts w:hint="eastAsia" w:ascii="宋体" w:hAnsi="宋体"/>
          <w:sz w:val="28"/>
          <w:szCs w:val="28"/>
          <w:lang w:val="en-US" w:eastAsia="zh-CN"/>
        </w:rPr>
        <w:t>4</w:t>
      </w:r>
      <w:r>
        <w:rPr>
          <w:rFonts w:hint="eastAsia" w:ascii="宋体" w:hAnsi="宋体"/>
          <w:sz w:val="28"/>
          <w:szCs w:val="28"/>
        </w:rPr>
        <w:t>台。油罐埋地设置，为卧式SF双层罐，</w:t>
      </w:r>
      <w:r>
        <w:rPr>
          <w:rFonts w:ascii="宋体" w:hAnsi="宋体"/>
          <w:sz w:val="28"/>
          <w:szCs w:val="28"/>
        </w:rPr>
        <w:t>卸油采</w:t>
      </w:r>
      <w:r>
        <w:rPr>
          <w:rFonts w:hint="eastAsia" w:ascii="宋体" w:hAnsi="宋体"/>
          <w:sz w:val="28"/>
          <w:szCs w:val="28"/>
        </w:rPr>
        <w:t>用密闭方式；埋地油罐设置有公称直径为</w:t>
      </w:r>
      <w:r>
        <w:rPr>
          <w:rFonts w:ascii="宋体" w:hAnsi="宋体"/>
          <w:sz w:val="28"/>
          <w:szCs w:val="28"/>
        </w:rPr>
        <w:t>DN</w:t>
      </w:r>
      <w:r>
        <w:rPr>
          <w:rFonts w:hint="eastAsia" w:ascii="宋体" w:hAnsi="宋体"/>
          <w:sz w:val="28"/>
          <w:szCs w:val="28"/>
        </w:rPr>
        <w:t>50的通气管，通气管高出</w:t>
      </w:r>
      <w:r>
        <w:rPr>
          <w:rFonts w:hint="eastAsia" w:ascii="宋体" w:hAnsi="宋体"/>
          <w:sz w:val="28"/>
          <w:szCs w:val="28"/>
          <w:lang w:val="en-US" w:eastAsia="zh-CN"/>
        </w:rPr>
        <w:t>罩棚顶部2</w:t>
      </w:r>
      <w:r>
        <w:rPr>
          <w:rFonts w:ascii="宋体" w:hAnsi="宋体"/>
          <w:sz w:val="28"/>
          <w:szCs w:val="28"/>
        </w:rPr>
        <w:t>m，通气管上安</w:t>
      </w:r>
      <w:r>
        <w:rPr>
          <w:rFonts w:hint="eastAsia" w:ascii="宋体" w:hAnsi="宋体"/>
          <w:sz w:val="28"/>
          <w:szCs w:val="28"/>
        </w:rPr>
        <w:t>装有阻火器等；设有汽油油气回收系统。加油工艺及设施符合</w:t>
      </w:r>
      <w:r>
        <w:rPr>
          <w:rFonts w:ascii="宋体" w:hAnsi="宋体"/>
          <w:sz w:val="28"/>
          <w:szCs w:val="28"/>
        </w:rPr>
        <w:t>《汽车加油加气加氢站技术标准》</w:t>
      </w:r>
      <w:r>
        <w:rPr>
          <w:rFonts w:hint="eastAsia" w:ascii="宋体" w:hAnsi="宋体"/>
          <w:sz w:val="28"/>
          <w:szCs w:val="28"/>
        </w:rPr>
        <w:t>的相关</w:t>
      </w:r>
      <w:r>
        <w:rPr>
          <w:rFonts w:ascii="宋体" w:hAnsi="宋体"/>
          <w:sz w:val="28"/>
          <w:szCs w:val="28"/>
        </w:rPr>
        <w:t>要</w:t>
      </w:r>
      <w:r>
        <w:rPr>
          <w:rFonts w:hint="eastAsia" w:ascii="宋体" w:hAnsi="宋体"/>
          <w:sz w:val="28"/>
          <w:szCs w:val="28"/>
        </w:rPr>
        <w:t>求</w:t>
      </w:r>
      <w:r>
        <w:rPr>
          <w:rFonts w:ascii="宋体" w:hAnsi="宋体"/>
          <w:sz w:val="28"/>
          <w:szCs w:val="28"/>
        </w:rPr>
        <w:t>。</w:t>
      </w:r>
    </w:p>
    <w:p w14:paraId="4D1452B9">
      <w:pPr>
        <w:pStyle w:val="4"/>
        <w:spacing w:afterLines="100" w:line="500" w:lineRule="exact"/>
        <w:jc w:val="center"/>
        <w:rPr>
          <w:rFonts w:ascii="楷体_GB2312" w:hAnsi="宋体" w:eastAsia="楷体_GB2312"/>
          <w:kern w:val="3"/>
        </w:rPr>
      </w:pPr>
      <w:bookmarkStart w:id="465" w:name="_Toc71894948"/>
      <w:r>
        <w:rPr>
          <w:rFonts w:hint="eastAsia" w:ascii="楷体_GB2312" w:hAnsi="宋体" w:eastAsia="楷体_GB2312"/>
          <w:kern w:val="3"/>
        </w:rPr>
        <w:t>6.4消防设施及供排水评价单元</w:t>
      </w:r>
      <w:bookmarkEnd w:id="465"/>
    </w:p>
    <w:p w14:paraId="63C202ED">
      <w:pPr>
        <w:pStyle w:val="4"/>
        <w:spacing w:afterLines="100" w:line="500" w:lineRule="exact"/>
        <w:rPr>
          <w:rFonts w:ascii="黑体" w:hAnsi="宋体"/>
          <w:kern w:val="3"/>
          <w:sz w:val="28"/>
          <w:szCs w:val="28"/>
        </w:rPr>
      </w:pPr>
      <w:bookmarkStart w:id="466" w:name="_Toc71894949"/>
      <w:r>
        <w:rPr>
          <w:rFonts w:hint="eastAsia" w:ascii="黑体" w:hAnsi="宋体"/>
          <w:kern w:val="3"/>
          <w:sz w:val="28"/>
          <w:szCs w:val="28"/>
        </w:rPr>
        <w:t>6.4.1消防设施及供排水安全检查表</w:t>
      </w:r>
      <w:bookmarkEnd w:id="466"/>
    </w:p>
    <w:p w14:paraId="7E631AEC">
      <w:pPr>
        <w:ind w:firstLine="560" w:firstLineChars="200"/>
        <w:rPr>
          <w:rFonts w:ascii="宋体" w:hAnsi="宋体"/>
          <w:sz w:val="28"/>
        </w:rPr>
      </w:pPr>
      <w:r>
        <w:rPr>
          <w:rFonts w:hint="eastAsia" w:ascii="宋体" w:hAnsi="宋体"/>
          <w:sz w:val="28"/>
        </w:rPr>
        <w:t>按照</w:t>
      </w:r>
      <w:r>
        <w:rPr>
          <w:rFonts w:ascii="宋体" w:hAnsi="宋体"/>
          <w:sz w:val="28"/>
        </w:rPr>
        <w:t>《汽车加油加气加氢站技术标准》（GB50156-2021）的相关规定，对该加油站</w:t>
      </w:r>
      <w:r>
        <w:rPr>
          <w:rFonts w:hint="eastAsia" w:ascii="宋体" w:hAnsi="宋体"/>
          <w:sz w:val="28"/>
        </w:rPr>
        <w:t>消防设施及供排水进行安全评价，具体情况见表6-7。</w:t>
      </w:r>
    </w:p>
    <w:p w14:paraId="4CE88437">
      <w:pPr>
        <w:jc w:val="center"/>
        <w:rPr>
          <w:rFonts w:ascii="宋体" w:hAnsi="宋体"/>
          <w:bCs/>
          <w:sz w:val="28"/>
          <w:szCs w:val="28"/>
        </w:rPr>
      </w:pPr>
      <w:r>
        <w:rPr>
          <w:rFonts w:ascii="宋体" w:hAnsi="宋体"/>
          <w:bCs/>
          <w:sz w:val="28"/>
          <w:szCs w:val="28"/>
        </w:rPr>
        <w:t>表</w:t>
      </w:r>
      <w:r>
        <w:rPr>
          <w:rFonts w:hint="eastAsia" w:ascii="宋体" w:hAnsi="宋体"/>
          <w:bCs/>
          <w:sz w:val="28"/>
          <w:szCs w:val="28"/>
        </w:rPr>
        <w:t xml:space="preserve">6-7 </w:t>
      </w:r>
      <w:r>
        <w:rPr>
          <w:rFonts w:ascii="宋体" w:hAnsi="宋体"/>
          <w:bCs/>
          <w:sz w:val="28"/>
          <w:szCs w:val="28"/>
        </w:rPr>
        <w:t>消防设施</w:t>
      </w:r>
      <w:r>
        <w:rPr>
          <w:rFonts w:hint="eastAsia" w:ascii="宋体" w:hAnsi="宋体"/>
          <w:bCs/>
          <w:sz w:val="28"/>
          <w:szCs w:val="28"/>
        </w:rPr>
        <w:t>及供排水</w:t>
      </w:r>
      <w:r>
        <w:rPr>
          <w:rFonts w:ascii="宋体" w:hAnsi="宋体"/>
          <w:bCs/>
          <w:sz w:val="28"/>
          <w:szCs w:val="28"/>
        </w:rPr>
        <w:t>安全评价检查表</w:t>
      </w:r>
    </w:p>
    <w:tbl>
      <w:tblPr>
        <w:tblStyle w:val="33"/>
        <w:tblW w:w="83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7"/>
        <w:gridCol w:w="3298"/>
        <w:gridCol w:w="1896"/>
        <w:gridCol w:w="1728"/>
        <w:gridCol w:w="832"/>
      </w:tblGrid>
      <w:tr w14:paraId="4E7BE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27" w:type="dxa"/>
            <w:tcBorders>
              <w:top w:val="single" w:color="auto" w:sz="4" w:space="0"/>
              <w:left w:val="single" w:color="auto" w:sz="4" w:space="0"/>
              <w:bottom w:val="single" w:color="auto" w:sz="4" w:space="0"/>
              <w:right w:val="single" w:color="auto" w:sz="4" w:space="0"/>
            </w:tcBorders>
          </w:tcPr>
          <w:p w14:paraId="43108803">
            <w:pPr>
              <w:spacing w:line="300" w:lineRule="exact"/>
              <w:jc w:val="center"/>
              <w:rPr>
                <w:rFonts w:ascii="宋体" w:hAnsi="宋体"/>
                <w:bCs/>
                <w:szCs w:val="21"/>
              </w:rPr>
            </w:pPr>
            <w:r>
              <w:rPr>
                <w:rFonts w:ascii="宋体" w:hAnsi="宋体"/>
                <w:bCs/>
                <w:szCs w:val="21"/>
              </w:rPr>
              <w:t>序号</w:t>
            </w:r>
          </w:p>
        </w:tc>
        <w:tc>
          <w:tcPr>
            <w:tcW w:w="3298" w:type="dxa"/>
            <w:tcBorders>
              <w:top w:val="single" w:color="auto" w:sz="4" w:space="0"/>
              <w:left w:val="single" w:color="auto" w:sz="4" w:space="0"/>
              <w:bottom w:val="single" w:color="auto" w:sz="4" w:space="0"/>
              <w:right w:val="single" w:color="auto" w:sz="4" w:space="0"/>
            </w:tcBorders>
            <w:vAlign w:val="center"/>
          </w:tcPr>
          <w:p w14:paraId="04F95710">
            <w:pPr>
              <w:spacing w:line="300" w:lineRule="exact"/>
              <w:jc w:val="center"/>
              <w:rPr>
                <w:rFonts w:ascii="宋体" w:hAnsi="宋体"/>
                <w:bCs/>
                <w:szCs w:val="21"/>
              </w:rPr>
            </w:pPr>
            <w:r>
              <w:rPr>
                <w:rFonts w:ascii="宋体" w:hAnsi="宋体"/>
                <w:bCs/>
                <w:szCs w:val="21"/>
              </w:rPr>
              <w:t>检 查 内 容</w:t>
            </w:r>
          </w:p>
        </w:tc>
        <w:tc>
          <w:tcPr>
            <w:tcW w:w="1896" w:type="dxa"/>
            <w:tcBorders>
              <w:top w:val="single" w:color="auto" w:sz="4" w:space="0"/>
              <w:left w:val="single" w:color="auto" w:sz="4" w:space="0"/>
              <w:bottom w:val="single" w:color="auto" w:sz="4" w:space="0"/>
              <w:right w:val="single" w:color="auto" w:sz="4" w:space="0"/>
            </w:tcBorders>
            <w:vAlign w:val="center"/>
          </w:tcPr>
          <w:p w14:paraId="216B2F06">
            <w:pPr>
              <w:spacing w:line="300" w:lineRule="exact"/>
              <w:jc w:val="center"/>
              <w:rPr>
                <w:rFonts w:ascii="宋体" w:hAnsi="宋体"/>
                <w:bCs/>
                <w:szCs w:val="21"/>
              </w:rPr>
            </w:pPr>
            <w:r>
              <w:rPr>
                <w:rFonts w:ascii="宋体" w:hAnsi="宋体"/>
                <w:bCs/>
                <w:szCs w:val="21"/>
              </w:rPr>
              <w:t>标准依据</w:t>
            </w:r>
          </w:p>
        </w:tc>
        <w:tc>
          <w:tcPr>
            <w:tcW w:w="1728" w:type="dxa"/>
            <w:tcBorders>
              <w:top w:val="single" w:color="auto" w:sz="4" w:space="0"/>
              <w:left w:val="single" w:color="auto" w:sz="4" w:space="0"/>
              <w:bottom w:val="single" w:color="auto" w:sz="4" w:space="0"/>
              <w:right w:val="single" w:color="auto" w:sz="4" w:space="0"/>
            </w:tcBorders>
            <w:vAlign w:val="center"/>
          </w:tcPr>
          <w:p w14:paraId="13B9874F">
            <w:pPr>
              <w:pStyle w:val="16"/>
              <w:spacing w:line="300" w:lineRule="exact"/>
              <w:rPr>
                <w:rFonts w:hAnsi="宋体"/>
                <w:bCs/>
                <w:sz w:val="21"/>
                <w:szCs w:val="21"/>
              </w:rPr>
            </w:pPr>
            <w:r>
              <w:rPr>
                <w:rFonts w:hAnsi="宋体"/>
                <w:bCs/>
                <w:sz w:val="21"/>
                <w:szCs w:val="21"/>
              </w:rPr>
              <w:t>检查记录</w:t>
            </w:r>
          </w:p>
        </w:tc>
        <w:tc>
          <w:tcPr>
            <w:tcW w:w="832" w:type="dxa"/>
            <w:tcBorders>
              <w:top w:val="single" w:color="auto" w:sz="4" w:space="0"/>
              <w:left w:val="single" w:color="auto" w:sz="4" w:space="0"/>
              <w:bottom w:val="single" w:color="auto" w:sz="4" w:space="0"/>
              <w:right w:val="single" w:color="auto" w:sz="4" w:space="0"/>
            </w:tcBorders>
            <w:vAlign w:val="center"/>
          </w:tcPr>
          <w:p w14:paraId="39C82236">
            <w:pPr>
              <w:spacing w:line="300" w:lineRule="exact"/>
              <w:jc w:val="center"/>
              <w:rPr>
                <w:rFonts w:ascii="宋体" w:hAnsi="宋体"/>
                <w:bCs/>
                <w:szCs w:val="21"/>
              </w:rPr>
            </w:pPr>
            <w:r>
              <w:rPr>
                <w:rFonts w:ascii="宋体" w:hAnsi="宋体"/>
                <w:bCs/>
                <w:szCs w:val="21"/>
              </w:rPr>
              <w:t>结论</w:t>
            </w:r>
          </w:p>
        </w:tc>
      </w:tr>
      <w:tr w14:paraId="56657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64" w:hRule="atLeast"/>
          <w:jc w:val="center"/>
        </w:trPr>
        <w:tc>
          <w:tcPr>
            <w:tcW w:w="627" w:type="dxa"/>
            <w:vMerge w:val="restart"/>
            <w:tcBorders>
              <w:top w:val="single" w:color="auto" w:sz="4" w:space="0"/>
              <w:left w:val="single" w:color="auto" w:sz="4" w:space="0"/>
              <w:bottom w:val="single" w:color="auto" w:sz="4" w:space="0"/>
              <w:right w:val="single" w:color="auto" w:sz="4" w:space="0"/>
            </w:tcBorders>
            <w:vAlign w:val="center"/>
          </w:tcPr>
          <w:p w14:paraId="7A65E78C">
            <w:pPr>
              <w:spacing w:line="300" w:lineRule="exact"/>
              <w:rPr>
                <w:rFonts w:ascii="宋体" w:hAnsi="宋体"/>
                <w:szCs w:val="21"/>
              </w:rPr>
            </w:pPr>
            <w:r>
              <w:rPr>
                <w:rFonts w:hint="eastAsia" w:ascii="宋体" w:hAnsi="宋体"/>
                <w:bCs/>
                <w:szCs w:val="21"/>
              </w:rPr>
              <w:t>1.灭火器配置</w:t>
            </w:r>
          </w:p>
        </w:tc>
        <w:tc>
          <w:tcPr>
            <w:tcW w:w="3298" w:type="dxa"/>
            <w:tcBorders>
              <w:top w:val="single" w:color="auto" w:sz="4" w:space="0"/>
              <w:left w:val="single" w:color="auto" w:sz="4" w:space="0"/>
              <w:bottom w:val="single" w:color="auto" w:sz="4" w:space="0"/>
              <w:right w:val="single" w:color="auto" w:sz="4" w:space="0"/>
            </w:tcBorders>
            <w:vAlign w:val="center"/>
          </w:tcPr>
          <w:p w14:paraId="4D98FF4C">
            <w:pPr>
              <w:spacing w:line="300" w:lineRule="exact"/>
              <w:rPr>
                <w:rFonts w:ascii="宋体" w:hAnsi="宋体"/>
                <w:szCs w:val="21"/>
              </w:rPr>
            </w:pPr>
            <w:r>
              <w:rPr>
                <w:rFonts w:ascii="宋体" w:hAnsi="宋体"/>
                <w:szCs w:val="21"/>
              </w:rPr>
              <w:t>加油站灭火设施的设置，应符合下列规定：</w:t>
            </w:r>
          </w:p>
          <w:p w14:paraId="18D891C4">
            <w:pPr>
              <w:spacing w:line="300" w:lineRule="exact"/>
              <w:rPr>
                <w:rFonts w:ascii="宋体" w:hAnsi="宋体"/>
                <w:szCs w:val="21"/>
              </w:rPr>
            </w:pPr>
            <w:r>
              <w:rPr>
                <w:rFonts w:ascii="宋体" w:hAnsi="宋体"/>
                <w:szCs w:val="21"/>
              </w:rPr>
              <w:t>每2台加油机应设置不少于2只</w:t>
            </w:r>
            <w:r>
              <w:rPr>
                <w:rFonts w:hint="eastAsia" w:ascii="宋体" w:hAnsi="宋体"/>
                <w:szCs w:val="21"/>
              </w:rPr>
              <w:t>5</w:t>
            </w:r>
            <w:r>
              <w:rPr>
                <w:rFonts w:ascii="宋体" w:hAnsi="宋体"/>
                <w:szCs w:val="21"/>
              </w:rPr>
              <w:t>kg手提式干粉灭火器</w:t>
            </w:r>
            <w:r>
              <w:rPr>
                <w:rFonts w:hint="eastAsia" w:ascii="宋体" w:hAnsi="宋体"/>
                <w:szCs w:val="21"/>
              </w:rPr>
              <w:t>，</w:t>
            </w:r>
            <w:r>
              <w:rPr>
                <w:rStyle w:val="37"/>
                <w:rFonts w:ascii="宋体" w:hAnsi="宋体"/>
                <w:b w:val="0"/>
                <w:szCs w:val="21"/>
              </w:rPr>
              <w:t>或1只</w:t>
            </w:r>
            <w:r>
              <w:rPr>
                <w:rStyle w:val="37"/>
                <w:rFonts w:hint="eastAsia" w:ascii="宋体" w:hAnsi="宋体"/>
                <w:b w:val="0"/>
                <w:szCs w:val="21"/>
              </w:rPr>
              <w:t>5</w:t>
            </w:r>
            <w:r>
              <w:rPr>
                <w:rStyle w:val="37"/>
                <w:rFonts w:ascii="宋体" w:hAnsi="宋体"/>
                <w:b w:val="0"/>
                <w:szCs w:val="21"/>
              </w:rPr>
              <w:t>kg手提式干粉灭火器和1只</w:t>
            </w:r>
            <w:r>
              <w:rPr>
                <w:rStyle w:val="37"/>
                <w:rFonts w:hint="eastAsia" w:ascii="宋体" w:hAnsi="宋体"/>
                <w:b w:val="0"/>
                <w:szCs w:val="21"/>
              </w:rPr>
              <w:t>6L</w:t>
            </w:r>
            <w:r>
              <w:rPr>
                <w:rStyle w:val="37"/>
                <w:rFonts w:ascii="宋体" w:hAnsi="宋体"/>
                <w:b w:val="0"/>
                <w:szCs w:val="21"/>
              </w:rPr>
              <w:t>泡沫灭火器</w:t>
            </w:r>
            <w:r>
              <w:rPr>
                <w:rFonts w:hint="eastAsia" w:ascii="宋体" w:hAnsi="宋体"/>
                <w:szCs w:val="21"/>
              </w:rPr>
              <w:t>。</w:t>
            </w:r>
            <w:r>
              <w:rPr>
                <w:rFonts w:ascii="宋体" w:hAnsi="宋体"/>
                <w:szCs w:val="21"/>
              </w:rPr>
              <w:t>加油机不足2台按2台计算。</w:t>
            </w:r>
          </w:p>
        </w:tc>
        <w:tc>
          <w:tcPr>
            <w:tcW w:w="1896" w:type="dxa"/>
            <w:vMerge w:val="restart"/>
            <w:tcBorders>
              <w:top w:val="single" w:color="auto" w:sz="4" w:space="0"/>
              <w:left w:val="single" w:color="auto" w:sz="4" w:space="0"/>
              <w:right w:val="single" w:color="auto" w:sz="4" w:space="0"/>
            </w:tcBorders>
            <w:vAlign w:val="center"/>
          </w:tcPr>
          <w:p w14:paraId="1C8F27CF">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4D230FFE">
            <w:pPr>
              <w:spacing w:line="300" w:lineRule="exact"/>
              <w:rPr>
                <w:rFonts w:ascii="宋体" w:hAnsi="宋体"/>
                <w:szCs w:val="21"/>
              </w:rPr>
            </w:pPr>
            <w:r>
              <w:rPr>
                <w:rFonts w:hint="eastAsia" w:ascii="宋体" w:hAnsi="宋体"/>
                <w:lang w:val="en-US" w:eastAsia="zh-CN"/>
              </w:rPr>
              <w:t>12</w:t>
            </w:r>
            <w:r>
              <w:rPr>
                <w:rFonts w:hint="eastAsia" w:ascii="宋体" w:hAnsi="宋体"/>
              </w:rPr>
              <w:t>只</w:t>
            </w:r>
            <w:r>
              <w:rPr>
                <w:rFonts w:hint="eastAsia" w:ascii="宋体" w:hAnsi="宋体"/>
                <w:snapToGrid w:val="0"/>
                <w:kern w:val="0"/>
              </w:rPr>
              <w:t>手提式干粉灭火器。</w:t>
            </w:r>
            <w:r>
              <w:rPr>
                <w:rStyle w:val="37"/>
                <w:rFonts w:hint="eastAsia" w:ascii="宋体" w:hAnsi="宋体"/>
                <w:b w:val="0"/>
                <w:szCs w:val="21"/>
              </w:rPr>
              <w:t>4</w:t>
            </w:r>
            <w:r>
              <w:rPr>
                <w:rStyle w:val="37"/>
                <w:rFonts w:ascii="宋体" w:hAnsi="宋体"/>
                <w:b w:val="0"/>
                <w:szCs w:val="21"/>
              </w:rPr>
              <w:t>只泡沫灭火器</w:t>
            </w:r>
            <w:r>
              <w:rPr>
                <w:rStyle w:val="37"/>
                <w:rFonts w:hint="eastAsia" w:ascii="宋体" w:hAnsi="宋体"/>
                <w:b w:val="0"/>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378466E8">
            <w:pPr>
              <w:spacing w:line="300" w:lineRule="exact"/>
              <w:jc w:val="center"/>
              <w:rPr>
                <w:rFonts w:ascii="宋体" w:hAnsi="宋体"/>
                <w:szCs w:val="21"/>
              </w:rPr>
            </w:pPr>
            <w:r>
              <w:rPr>
                <w:rFonts w:hint="eastAsia" w:ascii="宋体" w:hAnsi="宋体"/>
                <w:szCs w:val="21"/>
              </w:rPr>
              <w:t>符合</w:t>
            </w:r>
          </w:p>
        </w:tc>
      </w:tr>
      <w:tr w14:paraId="77060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6"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18AEDD79">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2F28652B">
            <w:pPr>
              <w:spacing w:line="300" w:lineRule="exact"/>
              <w:rPr>
                <w:rFonts w:ascii="宋体" w:hAnsi="宋体"/>
                <w:szCs w:val="21"/>
              </w:rPr>
            </w:pPr>
            <w:r>
              <w:rPr>
                <w:rFonts w:ascii="宋体" w:hAnsi="宋体"/>
                <w:szCs w:val="21"/>
              </w:rPr>
              <w:t>地下储罐应设35kg推车式干粉灭火器1个。当两种介质储罐之间的距离超过15m时，应分别设置</w:t>
            </w:r>
            <w:r>
              <w:rPr>
                <w:rFonts w:hint="eastAsia" w:ascii="宋体" w:hAnsi="宋体"/>
                <w:szCs w:val="21"/>
              </w:rPr>
              <w:t>。</w:t>
            </w:r>
          </w:p>
        </w:tc>
        <w:tc>
          <w:tcPr>
            <w:tcW w:w="1896" w:type="dxa"/>
            <w:vMerge w:val="continue"/>
            <w:tcBorders>
              <w:left w:val="single" w:color="auto" w:sz="4" w:space="0"/>
              <w:right w:val="single" w:color="auto" w:sz="4" w:space="0"/>
            </w:tcBorders>
            <w:vAlign w:val="center"/>
          </w:tcPr>
          <w:p w14:paraId="5153C03A">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0B2F89FB">
            <w:pPr>
              <w:spacing w:line="300" w:lineRule="exact"/>
              <w:rPr>
                <w:rFonts w:ascii="宋体" w:hAnsi="宋体"/>
                <w:szCs w:val="21"/>
              </w:rPr>
            </w:pPr>
            <w:r>
              <w:rPr>
                <w:rFonts w:hint="eastAsia" w:ascii="宋体" w:hAnsi="宋体"/>
                <w:szCs w:val="21"/>
              </w:rPr>
              <w:t>埋地油罐，配备</w:t>
            </w:r>
            <w:r>
              <w:rPr>
                <w:rFonts w:ascii="宋体" w:hAnsi="宋体"/>
                <w:szCs w:val="21"/>
              </w:rPr>
              <w:t>推车式干粉灭火器</w:t>
            </w:r>
            <w:r>
              <w:rPr>
                <w:rFonts w:hint="eastAsia" w:ascii="宋体" w:hAnsi="宋体"/>
                <w:szCs w:val="21"/>
                <w:lang w:val="en-US" w:eastAsia="zh-CN"/>
              </w:rPr>
              <w:t>2</w:t>
            </w:r>
            <w:r>
              <w:rPr>
                <w:rFonts w:hint="eastAsia" w:ascii="宋体" w:hAnsi="宋体"/>
                <w:szCs w:val="21"/>
              </w:rPr>
              <w:t>台。</w:t>
            </w:r>
          </w:p>
        </w:tc>
        <w:tc>
          <w:tcPr>
            <w:tcW w:w="832" w:type="dxa"/>
            <w:tcBorders>
              <w:top w:val="single" w:color="auto" w:sz="4" w:space="0"/>
              <w:left w:val="single" w:color="auto" w:sz="4" w:space="0"/>
              <w:bottom w:val="single" w:color="auto" w:sz="4" w:space="0"/>
              <w:right w:val="single" w:color="auto" w:sz="4" w:space="0"/>
            </w:tcBorders>
            <w:vAlign w:val="center"/>
          </w:tcPr>
          <w:p w14:paraId="6AE0DBBE">
            <w:pPr>
              <w:spacing w:line="300" w:lineRule="exact"/>
              <w:jc w:val="center"/>
              <w:rPr>
                <w:rFonts w:ascii="宋体" w:hAnsi="宋体"/>
                <w:szCs w:val="21"/>
              </w:rPr>
            </w:pPr>
            <w:r>
              <w:rPr>
                <w:rFonts w:hint="eastAsia" w:ascii="宋体" w:hAnsi="宋体"/>
                <w:szCs w:val="21"/>
              </w:rPr>
              <w:t>符合</w:t>
            </w:r>
          </w:p>
        </w:tc>
      </w:tr>
      <w:tr w14:paraId="0406E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5"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567C95C4">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1A91031D">
            <w:pPr>
              <w:spacing w:line="300" w:lineRule="exact"/>
              <w:rPr>
                <w:rFonts w:ascii="宋体" w:hAnsi="宋体"/>
                <w:szCs w:val="21"/>
              </w:rPr>
            </w:pPr>
            <w:r>
              <w:rPr>
                <w:rFonts w:ascii="宋体" w:hAnsi="宋体"/>
                <w:szCs w:val="21"/>
              </w:rPr>
              <w:t>一、二级加油站应配置灭火毯5块、</w:t>
            </w:r>
            <w:r>
              <w:rPr>
                <w:rFonts w:hint="eastAsia" w:ascii="宋体" w:hAnsi="宋体"/>
                <w:szCs w:val="21"/>
              </w:rPr>
              <w:t>沙子</w:t>
            </w:r>
            <w:r>
              <w:rPr>
                <w:rFonts w:ascii="宋体" w:hAnsi="宋体"/>
                <w:szCs w:val="21"/>
              </w:rPr>
              <w:t>2m</w:t>
            </w:r>
            <w:r>
              <w:rPr>
                <w:rFonts w:ascii="宋体" w:hAnsi="宋体"/>
                <w:szCs w:val="21"/>
                <w:vertAlign w:val="superscript"/>
              </w:rPr>
              <w:t>3</w:t>
            </w:r>
            <w:r>
              <w:rPr>
                <w:rFonts w:ascii="宋体" w:hAnsi="宋体"/>
                <w:szCs w:val="21"/>
              </w:rPr>
              <w:t>。三级加油站应配置灭火毯2块,砂子2m</w:t>
            </w:r>
            <w:r>
              <w:rPr>
                <w:rFonts w:ascii="宋体" w:hAnsi="宋体"/>
                <w:szCs w:val="21"/>
                <w:vertAlign w:val="superscript"/>
              </w:rPr>
              <w:t>3</w:t>
            </w:r>
            <w:r>
              <w:rPr>
                <w:rFonts w:ascii="宋体" w:hAnsi="宋体"/>
                <w:szCs w:val="21"/>
              </w:rPr>
              <w:t>。</w:t>
            </w:r>
          </w:p>
        </w:tc>
        <w:tc>
          <w:tcPr>
            <w:tcW w:w="1896" w:type="dxa"/>
            <w:vMerge w:val="continue"/>
            <w:tcBorders>
              <w:left w:val="single" w:color="auto" w:sz="4" w:space="0"/>
              <w:right w:val="single" w:color="auto" w:sz="4" w:space="0"/>
            </w:tcBorders>
            <w:vAlign w:val="center"/>
          </w:tcPr>
          <w:p w14:paraId="36AEC604">
            <w:pPr>
              <w:spacing w:line="300" w:lineRule="exact"/>
              <w:jc w:val="center"/>
              <w:rPr>
                <w:rFonts w:ascii="宋体" w:hAnsi="宋体"/>
                <w:szCs w:val="21"/>
                <w:vertAlign w:val="superscript"/>
              </w:rPr>
            </w:pPr>
          </w:p>
        </w:tc>
        <w:tc>
          <w:tcPr>
            <w:tcW w:w="1728" w:type="dxa"/>
            <w:tcBorders>
              <w:top w:val="single" w:color="auto" w:sz="4" w:space="0"/>
              <w:left w:val="single" w:color="auto" w:sz="4" w:space="0"/>
              <w:bottom w:val="single" w:color="auto" w:sz="4" w:space="0"/>
              <w:right w:val="single" w:color="auto" w:sz="4" w:space="0"/>
            </w:tcBorders>
            <w:vAlign w:val="center"/>
          </w:tcPr>
          <w:p w14:paraId="0CDE7B14">
            <w:pPr>
              <w:spacing w:line="300" w:lineRule="exact"/>
              <w:rPr>
                <w:rFonts w:ascii="宋体" w:hAnsi="宋体"/>
                <w:szCs w:val="21"/>
              </w:rPr>
            </w:pPr>
            <w:r>
              <w:rPr>
                <w:rFonts w:hint="eastAsia" w:ascii="宋体" w:hAnsi="宋体"/>
                <w:szCs w:val="21"/>
                <w:lang w:val="en-US" w:eastAsia="zh-CN"/>
              </w:rPr>
              <w:t>三</w:t>
            </w:r>
            <w:r>
              <w:rPr>
                <w:rFonts w:hint="eastAsia" w:ascii="宋体" w:hAnsi="宋体"/>
                <w:szCs w:val="21"/>
              </w:rPr>
              <w:t>级加油站，有</w:t>
            </w:r>
            <w:r>
              <w:rPr>
                <w:rFonts w:ascii="宋体" w:hAnsi="宋体"/>
                <w:szCs w:val="21"/>
              </w:rPr>
              <w:t>灭火毯</w:t>
            </w:r>
            <w:r>
              <w:rPr>
                <w:rFonts w:hint="eastAsia" w:ascii="宋体" w:hAnsi="宋体"/>
                <w:szCs w:val="21"/>
                <w:lang w:val="en-US" w:eastAsia="zh-CN"/>
              </w:rPr>
              <w:t>5</w:t>
            </w:r>
            <w:r>
              <w:rPr>
                <w:rFonts w:hint="eastAsia" w:ascii="宋体" w:hAnsi="宋体"/>
                <w:szCs w:val="21"/>
              </w:rPr>
              <w:t>床，</w:t>
            </w:r>
            <w:r>
              <w:rPr>
                <w:rFonts w:hint="eastAsia" w:ascii="宋体" w:hAnsi="宋体"/>
                <w:szCs w:val="21"/>
                <w:lang w:val="en-US" w:eastAsia="zh-CN"/>
              </w:rPr>
              <w:t>2</w:t>
            </w:r>
            <w:r>
              <w:rPr>
                <w:rFonts w:ascii="宋体" w:hAnsi="宋体"/>
                <w:szCs w:val="21"/>
              </w:rPr>
              <w:t>m</w:t>
            </w:r>
            <w:r>
              <w:rPr>
                <w:rFonts w:ascii="宋体" w:hAnsi="宋体"/>
                <w:szCs w:val="21"/>
                <w:vertAlign w:val="superscript"/>
              </w:rPr>
              <w:t>3</w:t>
            </w:r>
            <w:r>
              <w:rPr>
                <w:rFonts w:hint="eastAsia" w:ascii="宋体" w:hAnsi="宋体"/>
                <w:szCs w:val="21"/>
              </w:rPr>
              <w:t>消防沙池</w:t>
            </w:r>
            <w:r>
              <w:rPr>
                <w:rFonts w:hint="eastAsia" w:ascii="宋体" w:hAnsi="宋体"/>
                <w:szCs w:val="21"/>
                <w:lang w:val="en-US" w:eastAsia="zh-CN"/>
              </w:rPr>
              <w:t>1</w:t>
            </w:r>
            <w:r>
              <w:rPr>
                <w:rFonts w:hint="eastAsia" w:ascii="宋体" w:hAnsi="宋体"/>
                <w:szCs w:val="21"/>
              </w:rPr>
              <w:t>座。</w:t>
            </w:r>
          </w:p>
        </w:tc>
        <w:tc>
          <w:tcPr>
            <w:tcW w:w="832" w:type="dxa"/>
            <w:tcBorders>
              <w:top w:val="single" w:color="auto" w:sz="4" w:space="0"/>
              <w:left w:val="single" w:color="auto" w:sz="4" w:space="0"/>
              <w:bottom w:val="single" w:color="auto" w:sz="4" w:space="0"/>
              <w:right w:val="single" w:color="auto" w:sz="4" w:space="0"/>
            </w:tcBorders>
            <w:vAlign w:val="center"/>
          </w:tcPr>
          <w:p w14:paraId="4231D5A3">
            <w:pPr>
              <w:spacing w:line="300" w:lineRule="exact"/>
              <w:jc w:val="center"/>
              <w:rPr>
                <w:rFonts w:ascii="宋体" w:hAnsi="宋体"/>
                <w:szCs w:val="21"/>
              </w:rPr>
            </w:pPr>
            <w:r>
              <w:rPr>
                <w:rFonts w:hint="eastAsia" w:ascii="宋体" w:hAnsi="宋体"/>
                <w:szCs w:val="21"/>
              </w:rPr>
              <w:t>符合</w:t>
            </w:r>
          </w:p>
        </w:tc>
      </w:tr>
      <w:tr w14:paraId="625AA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3"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4B717BD3">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070ADD7A">
            <w:pPr>
              <w:spacing w:line="300" w:lineRule="exact"/>
              <w:rPr>
                <w:rFonts w:ascii="宋体" w:hAnsi="宋体"/>
                <w:szCs w:val="21"/>
              </w:rPr>
            </w:pPr>
            <w:r>
              <w:rPr>
                <w:rFonts w:ascii="宋体" w:hAnsi="宋体"/>
                <w:szCs w:val="21"/>
              </w:rPr>
              <w:t>其余建筑的灭火器材配置应符合现行国家标准《建筑灭火器配置设计规范》</w:t>
            </w:r>
            <w:r>
              <w:rPr>
                <w:rFonts w:hint="eastAsia" w:ascii="宋体" w:hAnsi="宋体"/>
                <w:szCs w:val="21"/>
              </w:rPr>
              <w:t>（</w:t>
            </w:r>
            <w:r>
              <w:rPr>
                <w:rFonts w:ascii="宋体" w:hAnsi="宋体"/>
                <w:szCs w:val="21"/>
              </w:rPr>
              <w:t>GB50140</w:t>
            </w:r>
            <w:r>
              <w:rPr>
                <w:rFonts w:hint="eastAsia" w:ascii="宋体" w:hAnsi="宋体"/>
                <w:szCs w:val="21"/>
              </w:rPr>
              <w:t>）</w:t>
            </w:r>
            <w:r>
              <w:rPr>
                <w:rFonts w:ascii="宋体" w:hAnsi="宋体"/>
                <w:szCs w:val="21"/>
              </w:rPr>
              <w:t>的规定。</w:t>
            </w:r>
          </w:p>
        </w:tc>
        <w:tc>
          <w:tcPr>
            <w:tcW w:w="1896" w:type="dxa"/>
            <w:vMerge w:val="continue"/>
            <w:tcBorders>
              <w:left w:val="single" w:color="auto" w:sz="4" w:space="0"/>
              <w:bottom w:val="single" w:color="auto" w:sz="4" w:space="0"/>
              <w:right w:val="single" w:color="auto" w:sz="4" w:space="0"/>
            </w:tcBorders>
            <w:vAlign w:val="center"/>
          </w:tcPr>
          <w:p w14:paraId="04811DD6">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22B3C46E">
            <w:pPr>
              <w:spacing w:line="300" w:lineRule="exact"/>
              <w:rPr>
                <w:rFonts w:ascii="宋体" w:hAnsi="宋体"/>
                <w:szCs w:val="21"/>
              </w:rPr>
            </w:pPr>
            <w:r>
              <w:rPr>
                <w:rFonts w:hint="eastAsia" w:ascii="宋体" w:hAnsi="宋体"/>
                <w:szCs w:val="21"/>
              </w:rPr>
              <w:t>营业室、值班室等配置有</w:t>
            </w:r>
            <w:r>
              <w:rPr>
                <w:rFonts w:ascii="宋体" w:hAnsi="宋体"/>
                <w:szCs w:val="21"/>
              </w:rPr>
              <w:t>手提式</w:t>
            </w:r>
            <w:r>
              <w:rPr>
                <w:rFonts w:hint="eastAsia" w:ascii="宋体" w:hAnsi="宋体"/>
                <w:szCs w:val="21"/>
              </w:rPr>
              <w:t>干粉</w:t>
            </w:r>
            <w:r>
              <w:rPr>
                <w:rFonts w:ascii="宋体" w:hAnsi="宋体"/>
                <w:szCs w:val="21"/>
              </w:rPr>
              <w:t>灭火器</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6403FFB4">
            <w:pPr>
              <w:spacing w:line="300" w:lineRule="exact"/>
              <w:jc w:val="center"/>
              <w:rPr>
                <w:rFonts w:ascii="宋体" w:hAnsi="宋体"/>
                <w:szCs w:val="21"/>
              </w:rPr>
            </w:pPr>
            <w:r>
              <w:rPr>
                <w:rFonts w:hint="eastAsia" w:ascii="宋体" w:hAnsi="宋体"/>
                <w:szCs w:val="21"/>
              </w:rPr>
              <w:t>符合</w:t>
            </w:r>
          </w:p>
        </w:tc>
      </w:tr>
      <w:tr w14:paraId="7BCF6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627" w:type="dxa"/>
            <w:vMerge w:val="restart"/>
            <w:tcBorders>
              <w:top w:val="single" w:color="auto" w:sz="4" w:space="0"/>
              <w:left w:val="single" w:color="auto" w:sz="4" w:space="0"/>
              <w:right w:val="single" w:color="auto" w:sz="4" w:space="0"/>
            </w:tcBorders>
            <w:vAlign w:val="center"/>
          </w:tcPr>
          <w:p w14:paraId="03B5F574">
            <w:pPr>
              <w:spacing w:line="300" w:lineRule="exact"/>
              <w:rPr>
                <w:rFonts w:ascii="宋体" w:hAnsi="宋体"/>
                <w:szCs w:val="21"/>
              </w:rPr>
            </w:pPr>
            <w:r>
              <w:rPr>
                <w:rFonts w:hint="eastAsia" w:ascii="宋体" w:hAnsi="宋体"/>
                <w:szCs w:val="21"/>
              </w:rPr>
              <w:t>2.给</w:t>
            </w:r>
          </w:p>
          <w:p w14:paraId="146FF6D2">
            <w:pPr>
              <w:spacing w:line="300" w:lineRule="exact"/>
              <w:rPr>
                <w:rFonts w:ascii="宋体" w:hAnsi="宋体"/>
                <w:szCs w:val="21"/>
              </w:rPr>
            </w:pPr>
            <w:r>
              <w:rPr>
                <w:rFonts w:hint="eastAsia" w:ascii="宋体" w:hAnsi="宋体"/>
                <w:szCs w:val="21"/>
              </w:rPr>
              <w:t>排</w:t>
            </w:r>
          </w:p>
          <w:p w14:paraId="2C82D5F6">
            <w:pPr>
              <w:spacing w:line="300" w:lineRule="exact"/>
              <w:rPr>
                <w:rFonts w:ascii="宋体" w:hAnsi="宋体"/>
                <w:szCs w:val="21"/>
              </w:rPr>
            </w:pPr>
            <w:r>
              <w:rPr>
                <w:rFonts w:hint="eastAsia" w:ascii="宋体" w:hAnsi="宋体"/>
                <w:szCs w:val="21"/>
              </w:rPr>
              <w:t>水</w:t>
            </w:r>
          </w:p>
          <w:p w14:paraId="1CEA34D3">
            <w:pPr>
              <w:spacing w:line="300" w:lineRule="exact"/>
              <w:rPr>
                <w:rFonts w:ascii="宋体" w:hAnsi="宋体"/>
                <w:szCs w:val="21"/>
              </w:rPr>
            </w:pPr>
            <w:r>
              <w:rPr>
                <w:rFonts w:hint="eastAsia" w:ascii="宋体" w:hAnsi="宋体"/>
                <w:szCs w:val="21"/>
              </w:rPr>
              <w:t>系统</w:t>
            </w:r>
          </w:p>
        </w:tc>
        <w:tc>
          <w:tcPr>
            <w:tcW w:w="3298" w:type="dxa"/>
            <w:tcBorders>
              <w:top w:val="single" w:color="auto" w:sz="4" w:space="0"/>
              <w:left w:val="single" w:color="auto" w:sz="4" w:space="0"/>
              <w:bottom w:val="single" w:color="auto" w:sz="4" w:space="0"/>
              <w:right w:val="single" w:color="auto" w:sz="4" w:space="0"/>
            </w:tcBorders>
            <w:vAlign w:val="center"/>
          </w:tcPr>
          <w:p w14:paraId="1B175140">
            <w:pPr>
              <w:spacing w:line="300" w:lineRule="exact"/>
              <w:rPr>
                <w:rFonts w:ascii="宋体" w:hAnsi="宋体"/>
                <w:szCs w:val="21"/>
              </w:rPr>
            </w:pPr>
            <w:r>
              <w:rPr>
                <w:rFonts w:ascii="宋体" w:hAnsi="宋体"/>
                <w:szCs w:val="21"/>
              </w:rPr>
              <w:t>加油站的排水应符合下列规定：</w:t>
            </w:r>
          </w:p>
          <w:p w14:paraId="7B043A33">
            <w:pPr>
              <w:spacing w:line="300" w:lineRule="exact"/>
              <w:rPr>
                <w:rFonts w:ascii="宋体" w:hAnsi="宋体"/>
                <w:szCs w:val="21"/>
              </w:rPr>
            </w:pPr>
            <w:r>
              <w:rPr>
                <w:rFonts w:ascii="宋体" w:hAnsi="宋体"/>
                <w:szCs w:val="21"/>
              </w:rPr>
              <w:t>1)站内地面雨水可散流排出站外。当雨水有明沟排到站外时，在排出围墙之前，应设置水封装置。</w:t>
            </w:r>
          </w:p>
        </w:tc>
        <w:tc>
          <w:tcPr>
            <w:tcW w:w="1896" w:type="dxa"/>
            <w:vMerge w:val="restart"/>
            <w:tcBorders>
              <w:top w:val="single" w:color="auto" w:sz="4" w:space="0"/>
              <w:left w:val="single" w:color="auto" w:sz="4" w:space="0"/>
              <w:right w:val="single" w:color="auto" w:sz="4" w:space="0"/>
            </w:tcBorders>
            <w:vAlign w:val="center"/>
          </w:tcPr>
          <w:p w14:paraId="02A1D754">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2C9C3BE7">
            <w:pPr>
              <w:spacing w:line="300" w:lineRule="exact"/>
              <w:rPr>
                <w:rFonts w:ascii="宋体" w:hAnsi="宋体"/>
                <w:szCs w:val="21"/>
              </w:rPr>
            </w:pPr>
            <w:r>
              <w:rPr>
                <w:rFonts w:hint="eastAsia" w:ascii="宋体" w:hAnsi="宋体"/>
                <w:szCs w:val="21"/>
              </w:rPr>
              <w:t>加油站内雨水</w:t>
            </w:r>
            <w:r>
              <w:rPr>
                <w:rFonts w:ascii="宋体" w:hAnsi="宋体"/>
                <w:szCs w:val="21"/>
              </w:rPr>
              <w:t>散流</w:t>
            </w:r>
            <w:r>
              <w:rPr>
                <w:rFonts w:hint="eastAsia" w:ascii="宋体" w:hAnsi="宋体"/>
                <w:szCs w:val="21"/>
              </w:rPr>
              <w:t>排出</w:t>
            </w:r>
            <w:r>
              <w:rPr>
                <w:rFonts w:ascii="宋体" w:hAnsi="宋体"/>
                <w:szCs w:val="21"/>
              </w:rPr>
              <w:t>站外</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56ED744D">
            <w:pPr>
              <w:spacing w:line="300" w:lineRule="exact"/>
              <w:jc w:val="center"/>
              <w:rPr>
                <w:rFonts w:ascii="宋体" w:hAnsi="宋体"/>
                <w:szCs w:val="21"/>
              </w:rPr>
            </w:pPr>
            <w:r>
              <w:rPr>
                <w:rFonts w:hint="eastAsia" w:ascii="宋体" w:hAnsi="宋体"/>
                <w:szCs w:val="21"/>
              </w:rPr>
              <w:t>符合</w:t>
            </w:r>
          </w:p>
        </w:tc>
      </w:tr>
      <w:tr w14:paraId="08899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627" w:type="dxa"/>
            <w:vMerge w:val="continue"/>
            <w:tcBorders>
              <w:left w:val="single" w:color="auto" w:sz="4" w:space="0"/>
              <w:right w:val="single" w:color="auto" w:sz="4" w:space="0"/>
            </w:tcBorders>
            <w:vAlign w:val="center"/>
          </w:tcPr>
          <w:p w14:paraId="6532B656">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7A96E77A">
            <w:pPr>
              <w:spacing w:line="300" w:lineRule="exact"/>
              <w:rPr>
                <w:rFonts w:ascii="宋体" w:hAnsi="宋体"/>
                <w:szCs w:val="21"/>
              </w:rPr>
            </w:pPr>
            <w:r>
              <w:rPr>
                <w:rFonts w:ascii="宋体" w:hAnsi="宋体"/>
                <w:szCs w:val="21"/>
              </w:rPr>
              <w:t>2）加油站排出建筑物或围墙的污水，在建筑物墙外或围墙内应分别设水封井。水封井的水封高度不应小于0.25m。水封井应设沉泥段。沉泥段高度不应小于0.25m。</w:t>
            </w:r>
          </w:p>
        </w:tc>
        <w:tc>
          <w:tcPr>
            <w:tcW w:w="1896" w:type="dxa"/>
            <w:vMerge w:val="continue"/>
            <w:tcBorders>
              <w:left w:val="single" w:color="auto" w:sz="4" w:space="0"/>
              <w:right w:val="single" w:color="auto" w:sz="4" w:space="0"/>
            </w:tcBorders>
            <w:vAlign w:val="center"/>
          </w:tcPr>
          <w:p w14:paraId="6CA489F9">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3A9162CE">
            <w:pPr>
              <w:spacing w:line="300" w:lineRule="exact"/>
              <w:rPr>
                <w:rFonts w:ascii="宋体" w:hAnsi="宋体"/>
                <w:szCs w:val="21"/>
              </w:rPr>
            </w:pPr>
            <w:r>
              <w:rPr>
                <w:rFonts w:hint="eastAsia" w:ascii="宋体" w:hAnsi="宋体"/>
                <w:szCs w:val="21"/>
                <w:lang w:val="en-US" w:eastAsia="zh-CN"/>
              </w:rPr>
              <w:t>设有三级油水分离池</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4D42CD71">
            <w:pPr>
              <w:spacing w:line="300" w:lineRule="exact"/>
              <w:jc w:val="center"/>
              <w:rPr>
                <w:rFonts w:ascii="宋体" w:hAnsi="宋体"/>
                <w:szCs w:val="21"/>
              </w:rPr>
            </w:pPr>
            <w:r>
              <w:rPr>
                <w:rFonts w:hint="eastAsia" w:ascii="宋体" w:hAnsi="宋体"/>
                <w:szCs w:val="21"/>
              </w:rPr>
              <w:t>符合</w:t>
            </w:r>
          </w:p>
        </w:tc>
      </w:tr>
      <w:tr w14:paraId="21E09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627" w:type="dxa"/>
            <w:vMerge w:val="continue"/>
            <w:tcBorders>
              <w:left w:val="single" w:color="auto" w:sz="4" w:space="0"/>
              <w:bottom w:val="single" w:color="auto" w:sz="4" w:space="0"/>
              <w:right w:val="single" w:color="auto" w:sz="4" w:space="0"/>
            </w:tcBorders>
            <w:vAlign w:val="center"/>
          </w:tcPr>
          <w:p w14:paraId="2A3789FC">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6293A3AE">
            <w:pPr>
              <w:spacing w:line="300" w:lineRule="exact"/>
              <w:rPr>
                <w:rFonts w:ascii="宋体" w:hAnsi="宋体"/>
                <w:szCs w:val="21"/>
              </w:rPr>
            </w:pPr>
            <w:r>
              <w:rPr>
                <w:rFonts w:ascii="宋体" w:hAnsi="宋体"/>
                <w:szCs w:val="21"/>
              </w:rPr>
              <w:t>3）加油站不应采用暗沟排水。</w:t>
            </w:r>
          </w:p>
        </w:tc>
        <w:tc>
          <w:tcPr>
            <w:tcW w:w="1896" w:type="dxa"/>
            <w:vMerge w:val="continue"/>
            <w:tcBorders>
              <w:left w:val="single" w:color="auto" w:sz="4" w:space="0"/>
              <w:bottom w:val="single" w:color="auto" w:sz="4" w:space="0"/>
              <w:right w:val="single" w:color="auto" w:sz="4" w:space="0"/>
            </w:tcBorders>
            <w:vAlign w:val="center"/>
          </w:tcPr>
          <w:p w14:paraId="39ABA579">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11B75BCC">
            <w:pPr>
              <w:spacing w:line="300" w:lineRule="exact"/>
              <w:rPr>
                <w:rFonts w:ascii="宋体" w:hAnsi="宋体"/>
                <w:szCs w:val="21"/>
              </w:rPr>
            </w:pPr>
            <w:r>
              <w:rPr>
                <w:rFonts w:hint="eastAsia" w:ascii="宋体" w:hAnsi="宋体"/>
                <w:szCs w:val="21"/>
                <w:lang w:val="en-US" w:eastAsia="zh-CN"/>
              </w:rPr>
              <w:t>设有三级油水分离池</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114DDD27">
            <w:pPr>
              <w:spacing w:line="300" w:lineRule="exact"/>
              <w:jc w:val="center"/>
              <w:rPr>
                <w:rFonts w:ascii="宋体" w:hAnsi="宋体"/>
                <w:szCs w:val="21"/>
              </w:rPr>
            </w:pPr>
            <w:r>
              <w:rPr>
                <w:rFonts w:hint="eastAsia" w:ascii="宋体" w:hAnsi="宋体"/>
                <w:szCs w:val="21"/>
              </w:rPr>
              <w:t>符合</w:t>
            </w:r>
          </w:p>
        </w:tc>
      </w:tr>
    </w:tbl>
    <w:p w14:paraId="7E0610DF">
      <w:pPr>
        <w:pStyle w:val="4"/>
        <w:spacing w:afterLines="100" w:line="500" w:lineRule="exact"/>
        <w:rPr>
          <w:rFonts w:ascii="黑体" w:hAnsi="宋体"/>
          <w:kern w:val="3"/>
          <w:sz w:val="28"/>
          <w:szCs w:val="28"/>
        </w:rPr>
      </w:pPr>
      <w:bookmarkStart w:id="467" w:name="_Toc71894950"/>
      <w:r>
        <w:rPr>
          <w:rFonts w:hint="eastAsia" w:ascii="黑体" w:hAnsi="宋体"/>
          <w:kern w:val="3"/>
          <w:sz w:val="28"/>
          <w:szCs w:val="28"/>
        </w:rPr>
        <w:t>6.4.2小结</w:t>
      </w:r>
      <w:bookmarkEnd w:id="467"/>
    </w:p>
    <w:p w14:paraId="159997A8">
      <w:pPr>
        <w:ind w:firstLine="420" w:firstLineChars="150"/>
        <w:rPr>
          <w:rFonts w:ascii="宋体" w:hAnsi="宋体"/>
          <w:sz w:val="28"/>
        </w:rPr>
      </w:pPr>
      <w:r>
        <w:rPr>
          <w:rFonts w:hint="eastAsia" w:ascii="宋体" w:hAnsi="宋体"/>
          <w:sz w:val="28"/>
        </w:rPr>
        <w:t>由上述安全检查表可知：该加油站消防设施及供排水符合</w:t>
      </w:r>
      <w:r>
        <w:rPr>
          <w:rFonts w:ascii="宋体" w:hAnsi="宋体"/>
          <w:sz w:val="28"/>
        </w:rPr>
        <w:t>《汽车加油加气加氢站技术标准》（GB50156-2021）</w:t>
      </w:r>
      <w:r>
        <w:rPr>
          <w:rFonts w:hint="eastAsia" w:ascii="宋体" w:hAnsi="宋体"/>
          <w:sz w:val="28"/>
        </w:rPr>
        <w:t>要求。</w:t>
      </w:r>
    </w:p>
    <w:p w14:paraId="5ACCF2BD">
      <w:pPr>
        <w:pStyle w:val="4"/>
        <w:spacing w:afterLines="100" w:line="500" w:lineRule="exact"/>
        <w:jc w:val="center"/>
        <w:rPr>
          <w:rFonts w:ascii="楷体_GB2312" w:hAnsi="宋体" w:eastAsia="楷体_GB2312"/>
          <w:kern w:val="3"/>
        </w:rPr>
      </w:pPr>
      <w:bookmarkStart w:id="468" w:name="_Toc71894951"/>
      <w:r>
        <w:rPr>
          <w:rFonts w:hint="eastAsia" w:ascii="楷体_GB2312" w:hAnsi="宋体" w:eastAsia="楷体_GB2312"/>
          <w:kern w:val="3"/>
        </w:rPr>
        <w:t>6.5电气装置及防雷防静电装置评价单元</w:t>
      </w:r>
      <w:bookmarkEnd w:id="468"/>
    </w:p>
    <w:p w14:paraId="20CD4A13">
      <w:pPr>
        <w:pStyle w:val="4"/>
        <w:spacing w:afterLines="100" w:line="500" w:lineRule="exact"/>
        <w:rPr>
          <w:rFonts w:ascii="黑体" w:hAnsi="宋体"/>
          <w:kern w:val="3"/>
          <w:sz w:val="28"/>
          <w:szCs w:val="28"/>
        </w:rPr>
      </w:pPr>
      <w:bookmarkStart w:id="469" w:name="_Toc71894952"/>
      <w:r>
        <w:rPr>
          <w:rFonts w:hint="eastAsia" w:ascii="黑体" w:hAnsi="宋体"/>
          <w:kern w:val="3"/>
          <w:sz w:val="28"/>
          <w:szCs w:val="28"/>
        </w:rPr>
        <w:t>6.5.1电气装置及防雷防静电装置评价单元安全检查表</w:t>
      </w:r>
      <w:bookmarkEnd w:id="469"/>
    </w:p>
    <w:p w14:paraId="6208A4AB">
      <w:pPr>
        <w:ind w:firstLine="560" w:firstLineChars="200"/>
        <w:rPr>
          <w:rFonts w:ascii="宋体" w:hAnsi="宋体"/>
          <w:sz w:val="28"/>
        </w:rPr>
      </w:pPr>
      <w:r>
        <w:rPr>
          <w:rFonts w:hint="eastAsia" w:ascii="宋体" w:hAnsi="宋体"/>
          <w:sz w:val="28"/>
        </w:rPr>
        <w:t>根据</w:t>
      </w:r>
      <w:r>
        <w:rPr>
          <w:rFonts w:ascii="宋体" w:hAnsi="宋体"/>
          <w:sz w:val="28"/>
        </w:rPr>
        <w:t>《汽车加油加气加氢站技术标准》（GB50156-2021）的相关规定，对该加油站</w:t>
      </w:r>
      <w:r>
        <w:rPr>
          <w:rFonts w:hint="eastAsia" w:ascii="宋体" w:hAnsi="宋体"/>
          <w:sz w:val="28"/>
        </w:rPr>
        <w:t xml:space="preserve">供配电进行安全评价，具体情况见表6-8。 </w:t>
      </w:r>
    </w:p>
    <w:p w14:paraId="0D352512">
      <w:pPr>
        <w:jc w:val="center"/>
        <w:rPr>
          <w:rFonts w:ascii="宋体" w:hAnsi="宋体"/>
          <w:bCs/>
          <w:sz w:val="28"/>
          <w:szCs w:val="28"/>
        </w:rPr>
      </w:pPr>
      <w:r>
        <w:rPr>
          <w:rFonts w:ascii="宋体" w:hAnsi="宋体"/>
          <w:bCs/>
          <w:sz w:val="28"/>
          <w:szCs w:val="28"/>
        </w:rPr>
        <w:t>表</w:t>
      </w:r>
      <w:r>
        <w:rPr>
          <w:rFonts w:hint="eastAsia" w:ascii="宋体" w:hAnsi="宋体"/>
          <w:bCs/>
          <w:sz w:val="28"/>
          <w:szCs w:val="28"/>
        </w:rPr>
        <w:t>6-8</w:t>
      </w:r>
      <w:r>
        <w:rPr>
          <w:rFonts w:ascii="宋体" w:hAnsi="宋体"/>
          <w:bCs/>
          <w:sz w:val="28"/>
          <w:szCs w:val="28"/>
        </w:rPr>
        <w:t xml:space="preserve"> 供配电安全评价检查表</w:t>
      </w:r>
    </w:p>
    <w:tbl>
      <w:tblPr>
        <w:tblStyle w:val="33"/>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4860"/>
        <w:gridCol w:w="1620"/>
        <w:gridCol w:w="1260"/>
      </w:tblGrid>
      <w:tr w14:paraId="1E90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44164995">
            <w:pPr>
              <w:rPr>
                <w:rFonts w:ascii="宋体" w:hAnsi="宋体"/>
                <w:szCs w:val="21"/>
              </w:rPr>
            </w:pPr>
            <w:r>
              <w:rPr>
                <w:rFonts w:hint="eastAsia" w:ascii="宋体" w:hAnsi="宋体"/>
                <w:szCs w:val="21"/>
              </w:rPr>
              <w:t>序号</w:t>
            </w:r>
          </w:p>
        </w:tc>
        <w:tc>
          <w:tcPr>
            <w:tcW w:w="4860" w:type="dxa"/>
            <w:vAlign w:val="center"/>
          </w:tcPr>
          <w:p w14:paraId="7D9EDCB2">
            <w:pPr>
              <w:ind w:firstLine="420" w:firstLineChars="200"/>
              <w:rPr>
                <w:rFonts w:ascii="宋体" w:hAnsi="宋体"/>
                <w:szCs w:val="21"/>
              </w:rPr>
            </w:pPr>
            <w:r>
              <w:rPr>
                <w:rFonts w:hint="eastAsia" w:ascii="宋体" w:hAnsi="宋体"/>
                <w:szCs w:val="21"/>
              </w:rPr>
              <w:t>项目检查内容</w:t>
            </w:r>
          </w:p>
        </w:tc>
        <w:tc>
          <w:tcPr>
            <w:tcW w:w="1620" w:type="dxa"/>
            <w:vAlign w:val="center"/>
          </w:tcPr>
          <w:p w14:paraId="153991B4">
            <w:pPr>
              <w:ind w:firstLine="525" w:firstLineChars="250"/>
              <w:rPr>
                <w:rFonts w:ascii="宋体" w:hAnsi="宋体"/>
                <w:szCs w:val="21"/>
              </w:rPr>
            </w:pPr>
            <w:r>
              <w:rPr>
                <w:rFonts w:hint="eastAsia" w:ascii="宋体" w:hAnsi="宋体"/>
                <w:szCs w:val="21"/>
              </w:rPr>
              <w:t>检查记录</w:t>
            </w:r>
          </w:p>
        </w:tc>
        <w:tc>
          <w:tcPr>
            <w:tcW w:w="1260" w:type="dxa"/>
            <w:vAlign w:val="center"/>
          </w:tcPr>
          <w:p w14:paraId="1AAA50E3">
            <w:pPr>
              <w:rPr>
                <w:rFonts w:ascii="宋体" w:hAnsi="宋体"/>
                <w:szCs w:val="21"/>
              </w:rPr>
            </w:pPr>
            <w:r>
              <w:rPr>
                <w:rFonts w:hint="eastAsia" w:ascii="宋体" w:hAnsi="宋体"/>
                <w:szCs w:val="21"/>
              </w:rPr>
              <w:t>结论</w:t>
            </w:r>
          </w:p>
        </w:tc>
      </w:tr>
      <w:tr w14:paraId="3640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6C92D91">
            <w:pPr>
              <w:rPr>
                <w:rFonts w:ascii="宋体" w:hAnsi="宋体"/>
                <w:szCs w:val="21"/>
              </w:rPr>
            </w:pPr>
            <w:r>
              <w:rPr>
                <w:rFonts w:hint="eastAsia" w:ascii="宋体" w:hAnsi="宋体"/>
                <w:szCs w:val="21"/>
              </w:rPr>
              <w:t>1</w:t>
            </w:r>
          </w:p>
        </w:tc>
        <w:tc>
          <w:tcPr>
            <w:tcW w:w="4860" w:type="dxa"/>
            <w:vAlign w:val="center"/>
          </w:tcPr>
          <w:p w14:paraId="7D14510F">
            <w:pPr>
              <w:rPr>
                <w:rFonts w:ascii="宋体" w:hAnsi="宋体"/>
                <w:szCs w:val="21"/>
              </w:rPr>
            </w:pPr>
            <w:r>
              <w:rPr>
                <w:rFonts w:hint="eastAsia" w:ascii="宋体" w:hAnsi="宋体" w:cs="宋体"/>
                <w:kern w:val="0"/>
                <w:szCs w:val="21"/>
              </w:rPr>
              <w:t>加油站罩棚、营业室等处，均应设事故照明。连续供电时间不应少于90min。</w:t>
            </w:r>
          </w:p>
        </w:tc>
        <w:tc>
          <w:tcPr>
            <w:tcW w:w="1620" w:type="dxa"/>
            <w:vAlign w:val="center"/>
          </w:tcPr>
          <w:p w14:paraId="19A270AF">
            <w:pPr>
              <w:rPr>
                <w:rFonts w:ascii="宋体" w:hAnsi="宋体"/>
                <w:szCs w:val="21"/>
              </w:rPr>
            </w:pPr>
            <w:r>
              <w:rPr>
                <w:rFonts w:hint="eastAsia" w:ascii="宋体" w:hAnsi="宋体" w:cs="宋体"/>
                <w:kern w:val="0"/>
                <w:szCs w:val="21"/>
              </w:rPr>
              <w:t>设有应急灯</w:t>
            </w:r>
          </w:p>
        </w:tc>
        <w:tc>
          <w:tcPr>
            <w:tcW w:w="1260" w:type="dxa"/>
            <w:vAlign w:val="center"/>
          </w:tcPr>
          <w:p w14:paraId="0D4769B4">
            <w:pPr>
              <w:rPr>
                <w:rFonts w:ascii="宋体" w:hAnsi="宋体"/>
                <w:szCs w:val="21"/>
              </w:rPr>
            </w:pPr>
            <w:r>
              <w:rPr>
                <w:rFonts w:hint="eastAsia" w:ascii="宋体" w:hAnsi="宋体"/>
                <w:szCs w:val="21"/>
              </w:rPr>
              <w:t>合格</w:t>
            </w:r>
          </w:p>
        </w:tc>
      </w:tr>
      <w:tr w14:paraId="7F6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367EF88">
            <w:pPr>
              <w:rPr>
                <w:rFonts w:ascii="宋体" w:hAnsi="宋体"/>
                <w:szCs w:val="21"/>
              </w:rPr>
            </w:pPr>
            <w:r>
              <w:rPr>
                <w:rFonts w:hint="eastAsia" w:ascii="宋体" w:hAnsi="宋体"/>
                <w:szCs w:val="21"/>
              </w:rPr>
              <w:t>2</w:t>
            </w:r>
          </w:p>
        </w:tc>
        <w:tc>
          <w:tcPr>
            <w:tcW w:w="4860" w:type="dxa"/>
            <w:vAlign w:val="center"/>
          </w:tcPr>
          <w:p w14:paraId="44D83DC8">
            <w:pPr>
              <w:autoSpaceDE w:val="0"/>
              <w:autoSpaceDN w:val="0"/>
              <w:adjustRightInd w:val="0"/>
              <w:jc w:val="left"/>
              <w:rPr>
                <w:rFonts w:ascii="宋体" w:hAnsi="宋体" w:cs="宋体"/>
                <w:kern w:val="0"/>
                <w:szCs w:val="21"/>
              </w:rPr>
            </w:pPr>
            <w:r>
              <w:rPr>
                <w:rFonts w:hint="eastAsia" w:ascii="宋体" w:hAnsi="宋体" w:cs="宋体"/>
                <w:kern w:val="0"/>
                <w:szCs w:val="21"/>
              </w:rPr>
              <w:t>当引用外电源有困难时，加油加气站可设置小型内燃发电机组。内燃机的排烟管口，应安装阻火器。排烟管口至各爆炸危险区域边界的水平距离，应符合下列规定：</w:t>
            </w:r>
          </w:p>
          <w:p w14:paraId="2453F156">
            <w:pPr>
              <w:autoSpaceDE w:val="0"/>
              <w:autoSpaceDN w:val="0"/>
              <w:adjustRightInd w:val="0"/>
              <w:jc w:val="left"/>
              <w:rPr>
                <w:rFonts w:ascii="宋体" w:hAnsi="宋体" w:cs="宋体"/>
                <w:kern w:val="0"/>
                <w:szCs w:val="21"/>
              </w:rPr>
            </w:pPr>
            <w:r>
              <w:rPr>
                <w:rFonts w:ascii="宋体" w:hAnsi="宋体"/>
                <w:kern w:val="0"/>
                <w:szCs w:val="21"/>
              </w:rPr>
              <w:t xml:space="preserve">1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以下时，不应小于</w:t>
            </w:r>
            <w:r>
              <w:rPr>
                <w:rFonts w:ascii="宋体" w:hAnsi="宋体"/>
                <w:kern w:val="0"/>
                <w:szCs w:val="21"/>
              </w:rPr>
              <w:t>5m</w:t>
            </w:r>
            <w:r>
              <w:rPr>
                <w:rFonts w:hint="eastAsia" w:ascii="宋体" w:hAnsi="宋体" w:cs="宋体"/>
                <w:kern w:val="0"/>
                <w:szCs w:val="21"/>
              </w:rPr>
              <w:t>。</w:t>
            </w:r>
          </w:p>
          <w:p w14:paraId="6CE90B16">
            <w:pPr>
              <w:rPr>
                <w:rFonts w:ascii="宋体" w:hAnsi="宋体"/>
                <w:szCs w:val="21"/>
              </w:rPr>
            </w:pPr>
            <w:r>
              <w:rPr>
                <w:rFonts w:ascii="宋体" w:hAnsi="宋体"/>
                <w:kern w:val="0"/>
                <w:szCs w:val="21"/>
              </w:rPr>
              <w:t xml:space="preserve">2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及以上时，不应小于</w:t>
            </w:r>
            <w:r>
              <w:rPr>
                <w:rFonts w:ascii="宋体" w:hAnsi="宋体"/>
                <w:kern w:val="0"/>
                <w:szCs w:val="21"/>
              </w:rPr>
              <w:t>3m</w:t>
            </w:r>
            <w:r>
              <w:rPr>
                <w:rFonts w:hint="eastAsia" w:ascii="宋体" w:hAnsi="宋体" w:cs="宋体"/>
                <w:kern w:val="0"/>
                <w:szCs w:val="21"/>
              </w:rPr>
              <w:t>。</w:t>
            </w:r>
          </w:p>
        </w:tc>
        <w:tc>
          <w:tcPr>
            <w:tcW w:w="1620" w:type="dxa"/>
            <w:vAlign w:val="center"/>
          </w:tcPr>
          <w:p w14:paraId="766167B1">
            <w:pPr>
              <w:rPr>
                <w:rFonts w:ascii="宋体" w:hAnsi="宋体"/>
                <w:szCs w:val="21"/>
              </w:rPr>
            </w:pPr>
            <w:r>
              <w:rPr>
                <w:rFonts w:hint="eastAsia" w:ascii="宋体" w:hAnsi="宋体"/>
                <w:szCs w:val="21"/>
                <w:lang w:val="en-US" w:eastAsia="zh-CN"/>
              </w:rPr>
              <w:t>未</w:t>
            </w:r>
            <w:r>
              <w:rPr>
                <w:rFonts w:hint="eastAsia" w:ascii="宋体" w:hAnsi="宋体"/>
                <w:szCs w:val="21"/>
              </w:rPr>
              <w:t>设置发电机</w:t>
            </w:r>
          </w:p>
        </w:tc>
        <w:tc>
          <w:tcPr>
            <w:tcW w:w="1260" w:type="dxa"/>
            <w:vAlign w:val="center"/>
          </w:tcPr>
          <w:p w14:paraId="516B77BD">
            <w:pPr>
              <w:rPr>
                <w:rFonts w:ascii="宋体" w:hAnsi="宋体"/>
                <w:szCs w:val="21"/>
              </w:rPr>
            </w:pPr>
            <w:r>
              <w:rPr>
                <w:rFonts w:hint="eastAsia" w:ascii="宋体" w:hAnsi="宋体"/>
                <w:szCs w:val="21"/>
              </w:rPr>
              <w:t>合格</w:t>
            </w:r>
          </w:p>
        </w:tc>
      </w:tr>
      <w:tr w14:paraId="46EC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2DA2E66">
            <w:pPr>
              <w:rPr>
                <w:rFonts w:ascii="宋体" w:hAnsi="宋体"/>
                <w:szCs w:val="21"/>
              </w:rPr>
            </w:pPr>
            <w:r>
              <w:rPr>
                <w:rFonts w:hint="eastAsia" w:ascii="宋体" w:hAnsi="宋体"/>
                <w:szCs w:val="21"/>
              </w:rPr>
              <w:t>3</w:t>
            </w:r>
          </w:p>
        </w:tc>
        <w:tc>
          <w:tcPr>
            <w:tcW w:w="4860" w:type="dxa"/>
            <w:vAlign w:val="center"/>
          </w:tcPr>
          <w:p w14:paraId="1259467F">
            <w:pPr>
              <w:rPr>
                <w:rFonts w:ascii="宋体" w:hAnsi="宋体"/>
                <w:szCs w:val="21"/>
              </w:rPr>
            </w:pPr>
            <w:r>
              <w:rPr>
                <w:rFonts w:hint="eastAsia" w:ascii="宋体" w:hAnsi="宋体" w:cs="宋体"/>
                <w:kern w:val="0"/>
                <w:szCs w:val="21"/>
              </w:rPr>
              <w:t>加油加气站的电力线路宜采用电缆并直埋敷设。电缆穿越行车道部分，应穿钢管保护。</w:t>
            </w:r>
          </w:p>
        </w:tc>
        <w:tc>
          <w:tcPr>
            <w:tcW w:w="1620" w:type="dxa"/>
            <w:vAlign w:val="center"/>
          </w:tcPr>
          <w:p w14:paraId="57740A96">
            <w:pPr>
              <w:rPr>
                <w:rFonts w:ascii="宋体" w:hAnsi="宋体"/>
                <w:szCs w:val="21"/>
              </w:rPr>
            </w:pPr>
            <w:r>
              <w:rPr>
                <w:rFonts w:hint="eastAsia" w:ascii="宋体" w:hAnsi="宋体"/>
                <w:szCs w:val="21"/>
              </w:rPr>
              <w:t>从配电箱至加油泵</w:t>
            </w:r>
            <w:r>
              <w:rPr>
                <w:rFonts w:hint="eastAsia" w:ascii="宋体" w:hAnsi="宋体" w:cs="宋体"/>
                <w:kern w:val="0"/>
                <w:szCs w:val="21"/>
              </w:rPr>
              <w:t>电力线路采用电缆穿钢管埋地敷设</w:t>
            </w:r>
          </w:p>
        </w:tc>
        <w:tc>
          <w:tcPr>
            <w:tcW w:w="1260" w:type="dxa"/>
            <w:vAlign w:val="center"/>
          </w:tcPr>
          <w:p w14:paraId="4ADE0676">
            <w:pPr>
              <w:rPr>
                <w:rFonts w:ascii="宋体" w:hAnsi="宋体"/>
                <w:szCs w:val="21"/>
              </w:rPr>
            </w:pPr>
            <w:r>
              <w:rPr>
                <w:rFonts w:hint="eastAsia" w:ascii="宋体" w:hAnsi="宋体"/>
                <w:szCs w:val="21"/>
              </w:rPr>
              <w:t>合格</w:t>
            </w:r>
          </w:p>
        </w:tc>
      </w:tr>
      <w:tr w14:paraId="4C61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B0B6604">
            <w:pPr>
              <w:rPr>
                <w:rFonts w:ascii="宋体" w:hAnsi="宋体"/>
                <w:szCs w:val="21"/>
              </w:rPr>
            </w:pPr>
            <w:r>
              <w:rPr>
                <w:rFonts w:hint="eastAsia" w:ascii="宋体" w:hAnsi="宋体"/>
                <w:szCs w:val="21"/>
              </w:rPr>
              <w:t>4</w:t>
            </w:r>
          </w:p>
        </w:tc>
        <w:tc>
          <w:tcPr>
            <w:tcW w:w="4860" w:type="dxa"/>
            <w:vAlign w:val="center"/>
          </w:tcPr>
          <w:p w14:paraId="5ACC6796">
            <w:pPr>
              <w:rPr>
                <w:rFonts w:ascii="宋体" w:hAnsi="宋体"/>
                <w:szCs w:val="21"/>
              </w:rPr>
            </w:pPr>
            <w:r>
              <w:rPr>
                <w:rFonts w:hint="eastAsia" w:ascii="宋体" w:hAnsi="宋体" w:cs="宋体"/>
                <w:kern w:val="0"/>
                <w:szCs w:val="21"/>
              </w:rPr>
              <w:t>爆炸危险区域内的电气设备选型、安装、电力线路敷设等，应符合现行国家标准《爆炸和火灾危险环境电力装置设计规范》</w:t>
            </w:r>
            <w:r>
              <w:rPr>
                <w:rFonts w:ascii="宋体" w:hAnsi="宋体" w:cs="宋体"/>
                <w:kern w:val="0"/>
                <w:szCs w:val="21"/>
              </w:rPr>
              <w:t xml:space="preserve">GB50058 </w:t>
            </w:r>
            <w:r>
              <w:rPr>
                <w:rFonts w:hint="eastAsia" w:ascii="宋体" w:hAnsi="宋体" w:cs="宋体"/>
                <w:kern w:val="0"/>
                <w:szCs w:val="21"/>
              </w:rPr>
              <w:t>的有关规定。</w:t>
            </w:r>
          </w:p>
        </w:tc>
        <w:tc>
          <w:tcPr>
            <w:tcW w:w="1620" w:type="dxa"/>
            <w:vAlign w:val="center"/>
          </w:tcPr>
          <w:p w14:paraId="53B998C0">
            <w:pPr>
              <w:rPr>
                <w:rFonts w:ascii="宋体" w:hAnsi="宋体"/>
                <w:szCs w:val="21"/>
              </w:rPr>
            </w:pPr>
            <w:r>
              <w:rPr>
                <w:rFonts w:hint="eastAsia" w:ascii="宋体" w:hAnsi="宋体"/>
                <w:szCs w:val="21"/>
              </w:rPr>
              <w:t>潜油泵为正规厂家生产设备</w:t>
            </w:r>
          </w:p>
        </w:tc>
        <w:tc>
          <w:tcPr>
            <w:tcW w:w="1260" w:type="dxa"/>
            <w:vAlign w:val="center"/>
          </w:tcPr>
          <w:p w14:paraId="3A114CE1">
            <w:pPr>
              <w:rPr>
                <w:rFonts w:ascii="宋体" w:hAnsi="宋体"/>
                <w:szCs w:val="21"/>
              </w:rPr>
            </w:pPr>
            <w:r>
              <w:rPr>
                <w:rFonts w:hint="eastAsia" w:ascii="宋体" w:hAnsi="宋体"/>
                <w:szCs w:val="21"/>
              </w:rPr>
              <w:t>合格</w:t>
            </w:r>
          </w:p>
        </w:tc>
      </w:tr>
      <w:tr w14:paraId="7274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0406CFD">
            <w:pPr>
              <w:rPr>
                <w:rFonts w:ascii="宋体" w:hAnsi="宋体"/>
                <w:szCs w:val="21"/>
              </w:rPr>
            </w:pPr>
            <w:r>
              <w:rPr>
                <w:rFonts w:hint="eastAsia" w:ascii="宋体" w:hAnsi="宋体"/>
                <w:szCs w:val="21"/>
              </w:rPr>
              <w:t>5</w:t>
            </w:r>
          </w:p>
        </w:tc>
        <w:tc>
          <w:tcPr>
            <w:tcW w:w="4860" w:type="dxa"/>
            <w:vAlign w:val="center"/>
          </w:tcPr>
          <w:p w14:paraId="7FF57B8B">
            <w:pPr>
              <w:rPr>
                <w:rFonts w:ascii="宋体" w:hAnsi="宋体"/>
                <w:szCs w:val="21"/>
              </w:rPr>
            </w:pPr>
            <w:r>
              <w:rPr>
                <w:rFonts w:hint="eastAsia" w:ascii="宋体" w:hAnsi="宋体" w:cs="宋体"/>
                <w:kern w:val="0"/>
                <w:szCs w:val="21"/>
              </w:rPr>
              <w:t>站内爆炸危险区域以外的照明灯具，可选用非防爆型。罩棚下处于非爆炸危险区域的灯具，应选用防护等级不低于</w:t>
            </w:r>
            <w:r>
              <w:rPr>
                <w:rFonts w:ascii="宋体" w:hAnsi="宋体" w:cs="宋体"/>
                <w:kern w:val="0"/>
                <w:szCs w:val="21"/>
              </w:rPr>
              <w:t xml:space="preserve">IP44 </w:t>
            </w:r>
            <w:r>
              <w:rPr>
                <w:rFonts w:hint="eastAsia" w:ascii="宋体" w:hAnsi="宋体" w:cs="宋体"/>
                <w:kern w:val="0"/>
                <w:szCs w:val="21"/>
              </w:rPr>
              <w:t>级的照明灯具。</w:t>
            </w:r>
          </w:p>
        </w:tc>
        <w:tc>
          <w:tcPr>
            <w:tcW w:w="1620" w:type="dxa"/>
            <w:vAlign w:val="center"/>
          </w:tcPr>
          <w:p w14:paraId="501ACFB5">
            <w:pPr>
              <w:rPr>
                <w:rFonts w:ascii="宋体" w:hAnsi="宋体"/>
                <w:szCs w:val="21"/>
              </w:rPr>
            </w:pPr>
            <w:r>
              <w:rPr>
                <w:rFonts w:hint="eastAsia" w:ascii="宋体" w:hAnsi="宋体"/>
                <w:szCs w:val="21"/>
              </w:rPr>
              <w:t>罩棚下照明均为防爆型。</w:t>
            </w:r>
          </w:p>
        </w:tc>
        <w:tc>
          <w:tcPr>
            <w:tcW w:w="1260" w:type="dxa"/>
            <w:vAlign w:val="center"/>
          </w:tcPr>
          <w:p w14:paraId="45AB50D5">
            <w:pPr>
              <w:rPr>
                <w:rFonts w:ascii="宋体" w:hAnsi="宋体"/>
                <w:szCs w:val="21"/>
              </w:rPr>
            </w:pPr>
            <w:r>
              <w:rPr>
                <w:rFonts w:hint="eastAsia" w:ascii="宋体" w:hAnsi="宋体"/>
                <w:szCs w:val="21"/>
              </w:rPr>
              <w:t>合格</w:t>
            </w:r>
          </w:p>
        </w:tc>
      </w:tr>
      <w:tr w14:paraId="4BC9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98F7263">
            <w:pPr>
              <w:rPr>
                <w:rFonts w:ascii="宋体" w:hAnsi="宋体"/>
                <w:szCs w:val="21"/>
              </w:rPr>
            </w:pPr>
            <w:r>
              <w:rPr>
                <w:rFonts w:hint="eastAsia" w:ascii="宋体" w:hAnsi="宋体"/>
                <w:szCs w:val="21"/>
              </w:rPr>
              <w:t>6</w:t>
            </w:r>
          </w:p>
        </w:tc>
        <w:tc>
          <w:tcPr>
            <w:tcW w:w="4860" w:type="dxa"/>
            <w:vAlign w:val="center"/>
          </w:tcPr>
          <w:p w14:paraId="43275B78">
            <w:pPr>
              <w:rPr>
                <w:rFonts w:ascii="宋体" w:hAnsi="宋体"/>
                <w:szCs w:val="21"/>
              </w:rPr>
            </w:pPr>
            <w:r>
              <w:rPr>
                <w:rFonts w:hint="eastAsia" w:ascii="宋体" w:hAnsi="宋体" w:cs="黑体"/>
                <w:kern w:val="0"/>
                <w:szCs w:val="21"/>
              </w:rPr>
              <w:t>钢制油罐必须进行防雷接地，接地点不应少于两处。</w:t>
            </w:r>
          </w:p>
        </w:tc>
        <w:tc>
          <w:tcPr>
            <w:tcW w:w="1620" w:type="dxa"/>
            <w:vAlign w:val="center"/>
          </w:tcPr>
          <w:p w14:paraId="20F05E03">
            <w:pPr>
              <w:rPr>
                <w:rFonts w:ascii="宋体" w:hAnsi="宋体"/>
                <w:szCs w:val="21"/>
              </w:rPr>
            </w:pPr>
            <w:r>
              <w:rPr>
                <w:rFonts w:hint="eastAsia" w:ascii="宋体" w:hAnsi="宋体"/>
                <w:szCs w:val="21"/>
              </w:rPr>
              <w:t>每个油罐两处接地</w:t>
            </w:r>
          </w:p>
        </w:tc>
        <w:tc>
          <w:tcPr>
            <w:tcW w:w="1260" w:type="dxa"/>
            <w:vAlign w:val="center"/>
          </w:tcPr>
          <w:p w14:paraId="5125A9BD">
            <w:pPr>
              <w:rPr>
                <w:rFonts w:ascii="宋体" w:hAnsi="宋体"/>
                <w:szCs w:val="21"/>
              </w:rPr>
            </w:pPr>
            <w:r>
              <w:rPr>
                <w:rFonts w:hint="eastAsia" w:ascii="宋体" w:hAnsi="宋体"/>
                <w:szCs w:val="21"/>
              </w:rPr>
              <w:t>合格</w:t>
            </w:r>
          </w:p>
        </w:tc>
      </w:tr>
      <w:tr w14:paraId="0D6A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49EF2E6">
            <w:pPr>
              <w:rPr>
                <w:rFonts w:ascii="宋体" w:hAnsi="宋体"/>
                <w:szCs w:val="21"/>
              </w:rPr>
            </w:pPr>
            <w:r>
              <w:rPr>
                <w:rFonts w:hint="eastAsia" w:ascii="宋体" w:hAnsi="宋体"/>
                <w:szCs w:val="21"/>
              </w:rPr>
              <w:t>7</w:t>
            </w:r>
          </w:p>
        </w:tc>
        <w:tc>
          <w:tcPr>
            <w:tcW w:w="4860" w:type="dxa"/>
            <w:vAlign w:val="center"/>
          </w:tcPr>
          <w:p w14:paraId="17E78D98">
            <w:pPr>
              <w:rPr>
                <w:rFonts w:ascii="宋体" w:hAnsi="宋体"/>
                <w:szCs w:val="21"/>
              </w:rPr>
            </w:pPr>
            <w:r>
              <w:rPr>
                <w:rFonts w:hint="eastAsia" w:ascii="宋体" w:hAnsi="宋体" w:cs="黑体"/>
                <w:kern w:val="0"/>
                <w:szCs w:val="21"/>
              </w:rPr>
              <w:t>埋地钢制油罐应与非埋地部分的工艺金属管道相互做电气连接并接地。</w:t>
            </w:r>
          </w:p>
        </w:tc>
        <w:tc>
          <w:tcPr>
            <w:tcW w:w="1620" w:type="dxa"/>
            <w:vAlign w:val="center"/>
          </w:tcPr>
          <w:p w14:paraId="095CC2E7">
            <w:pPr>
              <w:rPr>
                <w:rFonts w:ascii="宋体" w:hAnsi="宋体"/>
                <w:szCs w:val="21"/>
              </w:rPr>
            </w:pPr>
            <w:r>
              <w:rPr>
                <w:rFonts w:hint="eastAsia" w:ascii="宋体" w:hAnsi="宋体"/>
                <w:szCs w:val="21"/>
              </w:rPr>
              <w:t>站内为一个接地网</w:t>
            </w:r>
          </w:p>
        </w:tc>
        <w:tc>
          <w:tcPr>
            <w:tcW w:w="1260" w:type="dxa"/>
            <w:vAlign w:val="center"/>
          </w:tcPr>
          <w:p w14:paraId="0A7B5C34">
            <w:pPr>
              <w:rPr>
                <w:rFonts w:ascii="宋体" w:hAnsi="宋体"/>
                <w:szCs w:val="21"/>
              </w:rPr>
            </w:pPr>
            <w:r>
              <w:rPr>
                <w:rFonts w:hint="eastAsia" w:ascii="宋体" w:hAnsi="宋体"/>
                <w:szCs w:val="21"/>
              </w:rPr>
              <w:t>合格</w:t>
            </w:r>
          </w:p>
        </w:tc>
      </w:tr>
      <w:tr w14:paraId="2A5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F039BF0">
            <w:pPr>
              <w:rPr>
                <w:rFonts w:ascii="宋体" w:hAnsi="宋体"/>
                <w:szCs w:val="21"/>
              </w:rPr>
            </w:pPr>
            <w:r>
              <w:rPr>
                <w:rFonts w:hint="eastAsia" w:ascii="宋体" w:hAnsi="宋体"/>
                <w:szCs w:val="21"/>
              </w:rPr>
              <w:t>8</w:t>
            </w:r>
          </w:p>
        </w:tc>
        <w:tc>
          <w:tcPr>
            <w:tcW w:w="4860" w:type="dxa"/>
            <w:vAlign w:val="center"/>
          </w:tcPr>
          <w:p w14:paraId="39BAEED0">
            <w:pPr>
              <w:rPr>
                <w:rFonts w:ascii="宋体" w:hAnsi="宋体"/>
                <w:szCs w:val="21"/>
              </w:rPr>
            </w:pPr>
            <w:r>
              <w:rPr>
                <w:rFonts w:hint="eastAsia" w:ascii="宋体" w:hAnsi="宋体" w:cs="宋体"/>
                <w:kern w:val="0"/>
                <w:szCs w:val="21"/>
              </w:rPr>
              <w:t>地上或管沟敷设的油品管道，应设防静电和防感应雷的共用接地装置，其接地电阻不应大于</w:t>
            </w:r>
            <w:r>
              <w:rPr>
                <w:rFonts w:ascii="宋体" w:hAnsi="宋体" w:cs="宋体"/>
                <w:kern w:val="0"/>
                <w:szCs w:val="21"/>
              </w:rPr>
              <w:t>30</w:t>
            </w:r>
            <w:r>
              <w:rPr>
                <w:rFonts w:hint="eastAsia" w:ascii="宋体" w:hAnsi="宋体" w:cs="宋体"/>
                <w:kern w:val="0"/>
                <w:szCs w:val="21"/>
              </w:rPr>
              <w:t>Ω。</w:t>
            </w:r>
          </w:p>
        </w:tc>
        <w:tc>
          <w:tcPr>
            <w:tcW w:w="1620" w:type="dxa"/>
            <w:vAlign w:val="center"/>
          </w:tcPr>
          <w:p w14:paraId="7845AC02">
            <w:pPr>
              <w:rPr>
                <w:rFonts w:ascii="宋体" w:hAnsi="宋体"/>
                <w:szCs w:val="21"/>
              </w:rPr>
            </w:pPr>
            <w:r>
              <w:rPr>
                <w:rFonts w:hint="eastAsia" w:ascii="宋体" w:hAnsi="宋体"/>
                <w:szCs w:val="21"/>
              </w:rPr>
              <w:t>站内为一个接地网</w:t>
            </w:r>
          </w:p>
        </w:tc>
        <w:tc>
          <w:tcPr>
            <w:tcW w:w="1260" w:type="dxa"/>
            <w:vAlign w:val="center"/>
          </w:tcPr>
          <w:p w14:paraId="276EA215">
            <w:pPr>
              <w:rPr>
                <w:rFonts w:ascii="宋体" w:hAnsi="宋体"/>
                <w:szCs w:val="21"/>
              </w:rPr>
            </w:pPr>
            <w:r>
              <w:rPr>
                <w:rFonts w:hint="eastAsia" w:ascii="宋体" w:hAnsi="宋体"/>
                <w:szCs w:val="21"/>
              </w:rPr>
              <w:t>合格</w:t>
            </w:r>
          </w:p>
        </w:tc>
      </w:tr>
      <w:tr w14:paraId="4271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24050F0">
            <w:pPr>
              <w:rPr>
                <w:rFonts w:ascii="宋体" w:hAnsi="宋体"/>
                <w:szCs w:val="21"/>
              </w:rPr>
            </w:pPr>
            <w:r>
              <w:rPr>
                <w:rFonts w:hint="eastAsia" w:ascii="宋体" w:hAnsi="宋体"/>
                <w:szCs w:val="21"/>
              </w:rPr>
              <w:t>9</w:t>
            </w:r>
          </w:p>
        </w:tc>
        <w:tc>
          <w:tcPr>
            <w:tcW w:w="4860" w:type="dxa"/>
            <w:vAlign w:val="center"/>
          </w:tcPr>
          <w:p w14:paraId="4E2B747A">
            <w:pPr>
              <w:rPr>
                <w:rFonts w:ascii="宋体" w:hAnsi="宋体"/>
                <w:szCs w:val="21"/>
              </w:rPr>
            </w:pPr>
            <w:r>
              <w:rPr>
                <w:rFonts w:hint="eastAsia" w:ascii="宋体" w:hAnsi="宋体" w:cs="宋体"/>
                <w:kern w:val="0"/>
                <w:szCs w:val="21"/>
              </w:rPr>
              <w:t>在爆炸危险区域内工艺管道上的法兰、胶管两端等连接处，应用金属线跨接。当法兰的连接螺栓不少于</w:t>
            </w:r>
            <w:r>
              <w:rPr>
                <w:rFonts w:ascii="宋体" w:hAnsi="宋体"/>
                <w:kern w:val="0"/>
                <w:szCs w:val="21"/>
              </w:rPr>
              <w:t xml:space="preserve">5 </w:t>
            </w:r>
            <w:r>
              <w:rPr>
                <w:rFonts w:hint="eastAsia" w:ascii="宋体" w:hAnsi="宋体" w:cs="宋体"/>
                <w:kern w:val="0"/>
                <w:szCs w:val="21"/>
              </w:rPr>
              <w:t>根时，在非腐蚀环境下可不跨接。</w:t>
            </w:r>
          </w:p>
        </w:tc>
        <w:tc>
          <w:tcPr>
            <w:tcW w:w="1620" w:type="dxa"/>
            <w:vAlign w:val="center"/>
          </w:tcPr>
          <w:p w14:paraId="6AD94FE5">
            <w:pPr>
              <w:rPr>
                <w:rFonts w:ascii="宋体" w:hAnsi="宋体"/>
                <w:szCs w:val="21"/>
              </w:rPr>
            </w:pPr>
            <w:r>
              <w:rPr>
                <w:rFonts w:hint="eastAsia" w:ascii="宋体" w:hAnsi="宋体" w:cs="宋体"/>
                <w:kern w:val="0"/>
                <w:szCs w:val="21"/>
              </w:rPr>
              <w:t>法兰都作跨接。</w:t>
            </w:r>
          </w:p>
        </w:tc>
        <w:tc>
          <w:tcPr>
            <w:tcW w:w="1260" w:type="dxa"/>
            <w:vAlign w:val="center"/>
          </w:tcPr>
          <w:p w14:paraId="753197AC">
            <w:pPr>
              <w:rPr>
                <w:rFonts w:ascii="宋体" w:hAnsi="宋体"/>
                <w:szCs w:val="21"/>
              </w:rPr>
            </w:pPr>
            <w:r>
              <w:rPr>
                <w:rFonts w:hint="eastAsia" w:ascii="宋体" w:hAnsi="宋体"/>
                <w:szCs w:val="21"/>
              </w:rPr>
              <w:t>合格</w:t>
            </w:r>
          </w:p>
        </w:tc>
      </w:tr>
      <w:tr w14:paraId="62B9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9FE2207">
            <w:pPr>
              <w:rPr>
                <w:rFonts w:ascii="宋体" w:hAnsi="宋体"/>
                <w:szCs w:val="21"/>
              </w:rPr>
            </w:pPr>
            <w:r>
              <w:rPr>
                <w:rFonts w:hint="eastAsia" w:ascii="宋体" w:hAnsi="宋体"/>
                <w:szCs w:val="21"/>
              </w:rPr>
              <w:t>10</w:t>
            </w:r>
          </w:p>
        </w:tc>
        <w:tc>
          <w:tcPr>
            <w:tcW w:w="4860" w:type="dxa"/>
            <w:vAlign w:val="center"/>
          </w:tcPr>
          <w:p w14:paraId="73377EAD">
            <w:pPr>
              <w:rPr>
                <w:rFonts w:ascii="宋体" w:hAnsi="宋体" w:cs="宋体"/>
                <w:kern w:val="0"/>
                <w:szCs w:val="21"/>
              </w:rPr>
            </w:pPr>
            <w:r>
              <w:rPr>
                <w:rFonts w:hint="eastAsia" w:ascii="宋体" w:hAnsi="宋体" w:cs="宋体"/>
                <w:kern w:val="0"/>
                <w:szCs w:val="21"/>
              </w:rPr>
              <w:t>加油站的汽油罐车卸车场地，应设卸车时用的防静电接地装置。</w:t>
            </w:r>
          </w:p>
        </w:tc>
        <w:tc>
          <w:tcPr>
            <w:tcW w:w="1620" w:type="dxa"/>
            <w:vAlign w:val="center"/>
          </w:tcPr>
          <w:p w14:paraId="5F64388B">
            <w:pPr>
              <w:rPr>
                <w:rFonts w:ascii="宋体" w:hAnsi="宋体" w:cs="宋体"/>
                <w:kern w:val="0"/>
                <w:szCs w:val="21"/>
              </w:rPr>
            </w:pPr>
            <w:r>
              <w:rPr>
                <w:rFonts w:hint="eastAsia" w:ascii="宋体" w:hAnsi="宋体" w:cs="宋体"/>
                <w:kern w:val="0"/>
                <w:szCs w:val="21"/>
              </w:rPr>
              <w:t>有防静电接地装置</w:t>
            </w:r>
          </w:p>
        </w:tc>
        <w:tc>
          <w:tcPr>
            <w:tcW w:w="1260" w:type="dxa"/>
            <w:vAlign w:val="center"/>
          </w:tcPr>
          <w:p w14:paraId="23F39E9A">
            <w:pPr>
              <w:rPr>
                <w:rFonts w:ascii="宋体" w:hAnsi="宋体"/>
                <w:szCs w:val="21"/>
              </w:rPr>
            </w:pPr>
            <w:r>
              <w:rPr>
                <w:rFonts w:hint="eastAsia" w:ascii="宋体" w:hAnsi="宋体"/>
                <w:szCs w:val="21"/>
              </w:rPr>
              <w:t>合格</w:t>
            </w:r>
          </w:p>
        </w:tc>
      </w:tr>
      <w:tr w14:paraId="0B9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BCD1E8B">
            <w:pPr>
              <w:rPr>
                <w:rFonts w:ascii="宋体" w:hAnsi="宋体"/>
                <w:szCs w:val="21"/>
              </w:rPr>
            </w:pPr>
            <w:r>
              <w:rPr>
                <w:rFonts w:hint="eastAsia" w:ascii="宋体" w:hAnsi="宋体"/>
                <w:szCs w:val="21"/>
              </w:rPr>
              <w:t>11</w:t>
            </w:r>
          </w:p>
        </w:tc>
        <w:tc>
          <w:tcPr>
            <w:tcW w:w="4860" w:type="dxa"/>
            <w:vAlign w:val="center"/>
          </w:tcPr>
          <w:p w14:paraId="1876CCF2">
            <w:pPr>
              <w:rPr>
                <w:rFonts w:ascii="宋体" w:hAnsi="宋体" w:cs="宋体"/>
                <w:kern w:val="0"/>
                <w:szCs w:val="21"/>
              </w:rPr>
            </w:pPr>
            <w:r>
              <w:rPr>
                <w:rFonts w:hint="eastAsia" w:ascii="宋体" w:hAnsi="宋体" w:cs="宋体"/>
                <w:kern w:val="0"/>
                <w:szCs w:val="21"/>
              </w:rPr>
              <w:t>油罐车卸油用的卸油软管、油气回收软管与两端快速接头，应保证可靠的电气连接。</w:t>
            </w:r>
          </w:p>
        </w:tc>
        <w:tc>
          <w:tcPr>
            <w:tcW w:w="1620" w:type="dxa"/>
            <w:vAlign w:val="center"/>
          </w:tcPr>
          <w:p w14:paraId="48A4A3BF">
            <w:pPr>
              <w:rPr>
                <w:rFonts w:ascii="宋体" w:hAnsi="宋体" w:cs="宋体"/>
                <w:kern w:val="0"/>
                <w:szCs w:val="21"/>
              </w:rPr>
            </w:pPr>
            <w:r>
              <w:rPr>
                <w:rFonts w:hint="eastAsia" w:ascii="宋体" w:hAnsi="宋体" w:cs="宋体"/>
                <w:kern w:val="0"/>
                <w:szCs w:val="21"/>
              </w:rPr>
              <w:t>符合</w:t>
            </w:r>
          </w:p>
        </w:tc>
        <w:tc>
          <w:tcPr>
            <w:tcW w:w="1260" w:type="dxa"/>
            <w:vAlign w:val="center"/>
          </w:tcPr>
          <w:p w14:paraId="4B1A0A26">
            <w:pPr>
              <w:rPr>
                <w:rFonts w:ascii="宋体" w:hAnsi="宋体"/>
                <w:szCs w:val="21"/>
              </w:rPr>
            </w:pPr>
            <w:r>
              <w:rPr>
                <w:rFonts w:hint="eastAsia" w:ascii="宋体" w:hAnsi="宋体"/>
                <w:szCs w:val="21"/>
              </w:rPr>
              <w:t>合格</w:t>
            </w:r>
          </w:p>
        </w:tc>
      </w:tr>
    </w:tbl>
    <w:p w14:paraId="4DC6A8CA">
      <w:pPr>
        <w:pStyle w:val="4"/>
        <w:spacing w:afterLines="100" w:line="500" w:lineRule="exact"/>
        <w:rPr>
          <w:rFonts w:ascii="黑体" w:hAnsi="宋体"/>
          <w:kern w:val="3"/>
          <w:sz w:val="28"/>
          <w:szCs w:val="28"/>
        </w:rPr>
      </w:pPr>
      <w:bookmarkStart w:id="470" w:name="_Toc71894953"/>
      <w:r>
        <w:rPr>
          <w:rFonts w:hint="eastAsia" w:ascii="黑体" w:hAnsi="宋体"/>
          <w:kern w:val="3"/>
          <w:sz w:val="28"/>
          <w:szCs w:val="28"/>
        </w:rPr>
        <w:t>6.5.2小结</w:t>
      </w:r>
      <w:bookmarkEnd w:id="470"/>
    </w:p>
    <w:p w14:paraId="03903C91">
      <w:pPr>
        <w:ind w:firstLine="560" w:firstLineChars="200"/>
        <w:rPr>
          <w:rFonts w:ascii="宋体" w:hAnsi="宋体"/>
          <w:sz w:val="28"/>
          <w:szCs w:val="28"/>
        </w:rPr>
      </w:pPr>
      <w:r>
        <w:rPr>
          <w:rFonts w:hint="eastAsia" w:ascii="宋体" w:hAnsi="宋体"/>
          <w:sz w:val="28"/>
          <w:szCs w:val="28"/>
        </w:rPr>
        <w:t>加油站采用一路380/220V电源。加油站配电室室位于</w:t>
      </w:r>
      <w:r>
        <w:rPr>
          <w:rFonts w:hint="eastAsia" w:ascii="宋体" w:hAnsi="宋体"/>
          <w:sz w:val="28"/>
          <w:szCs w:val="28"/>
          <w:lang w:val="en-US" w:eastAsia="zh-CN"/>
        </w:rPr>
        <w:t>站</w:t>
      </w:r>
      <w:r>
        <w:rPr>
          <w:rFonts w:hint="eastAsia" w:ascii="宋体" w:hAnsi="宋体"/>
          <w:sz w:val="28"/>
          <w:szCs w:val="28"/>
        </w:rPr>
        <w:t>房。配电室内电器设备和电线</w:t>
      </w:r>
      <w:r>
        <w:rPr>
          <w:rFonts w:ascii="宋体" w:hAnsi="宋体"/>
          <w:sz w:val="28"/>
          <w:szCs w:val="28"/>
        </w:rPr>
        <w:t>其安装符合相关设计</w:t>
      </w:r>
      <w:r>
        <w:rPr>
          <w:rFonts w:hint="eastAsia" w:ascii="宋体" w:hAnsi="宋体"/>
          <w:sz w:val="28"/>
          <w:szCs w:val="28"/>
        </w:rPr>
        <w:t>规范的要求；电力线的进出全部采用电缆，进站电缆和站内电缆直接埋地敷设，</w:t>
      </w:r>
      <w:r>
        <w:rPr>
          <w:rFonts w:hint="eastAsia" w:ascii="宋体" w:hAnsi="宋体"/>
          <w:sz w:val="28"/>
          <w:szCs w:val="28"/>
          <w:lang w:val="en-US" w:eastAsia="zh-CN"/>
        </w:rPr>
        <w:t>所有管线都进行</w:t>
      </w:r>
      <w:r>
        <w:rPr>
          <w:rFonts w:hint="eastAsia" w:ascii="宋体" w:hAnsi="宋体"/>
          <w:sz w:val="28"/>
          <w:szCs w:val="28"/>
        </w:rPr>
        <w:t>穿管保护，站内配电室内配有</w:t>
      </w:r>
      <w:r>
        <w:rPr>
          <w:rFonts w:hint="eastAsia" w:ascii="宋体" w:hAnsi="宋体"/>
          <w:sz w:val="28"/>
          <w:szCs w:val="28"/>
          <w:lang w:val="en-US" w:eastAsia="zh-CN"/>
        </w:rPr>
        <w:t>2</w:t>
      </w:r>
      <w:r>
        <w:rPr>
          <w:rFonts w:hint="eastAsia" w:ascii="宋体" w:hAnsi="宋体"/>
          <w:sz w:val="28"/>
          <w:szCs w:val="28"/>
        </w:rPr>
        <w:t>支手提式</w:t>
      </w:r>
      <w:r>
        <w:rPr>
          <w:rFonts w:hint="eastAsia" w:ascii="宋体" w:hAnsi="宋体"/>
          <w:sz w:val="28"/>
          <w:szCs w:val="28"/>
          <w:lang w:val="en-US" w:eastAsia="zh-CN"/>
        </w:rPr>
        <w:t>二氧化碳</w:t>
      </w:r>
      <w:r>
        <w:rPr>
          <w:rFonts w:hint="eastAsia" w:ascii="宋体" w:hAnsi="宋体"/>
          <w:sz w:val="28"/>
          <w:szCs w:val="28"/>
        </w:rPr>
        <w:t>灭火器。</w:t>
      </w:r>
    </w:p>
    <w:p w14:paraId="05179525">
      <w:pPr>
        <w:ind w:firstLine="560" w:firstLineChars="200"/>
        <w:rPr>
          <w:rFonts w:ascii="宋体" w:hAnsi="宋体"/>
        </w:rPr>
      </w:pPr>
      <w:r>
        <w:rPr>
          <w:rFonts w:hint="eastAsia" w:ascii="宋体" w:hAnsi="宋体"/>
          <w:sz w:val="28"/>
          <w:szCs w:val="28"/>
        </w:rPr>
        <w:t>加油站的防雷防静电按《加油站避雷设施设置要求》，在站房和加油棚顶敷设避雷网，站内油罐及输油管道的法兰两端用金属铜片进行跨接。卸油台设置静电接地栓、静电夹</w:t>
      </w:r>
      <w:r>
        <w:rPr>
          <w:rFonts w:hint="eastAsia" w:ascii="宋体" w:hAnsi="宋体"/>
          <w:color w:val="auto"/>
          <w:sz w:val="28"/>
          <w:szCs w:val="28"/>
        </w:rPr>
        <w:t>。加油站的防雷防静电20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6</w:t>
      </w:r>
      <w:r>
        <w:rPr>
          <w:rFonts w:hint="eastAsia" w:ascii="宋体" w:hAnsi="宋体"/>
          <w:color w:val="auto"/>
          <w:sz w:val="28"/>
          <w:szCs w:val="28"/>
        </w:rPr>
        <w:t>月</w:t>
      </w:r>
      <w:r>
        <w:rPr>
          <w:rFonts w:hint="eastAsia" w:ascii="宋体" w:hAnsi="宋体"/>
          <w:color w:val="auto"/>
          <w:sz w:val="28"/>
          <w:szCs w:val="28"/>
          <w:lang w:val="en-US" w:eastAsia="zh-CN"/>
        </w:rPr>
        <w:t>16</w:t>
      </w:r>
      <w:r>
        <w:rPr>
          <w:rFonts w:hint="eastAsia" w:ascii="宋体" w:hAnsi="宋体"/>
          <w:color w:val="auto"/>
          <w:sz w:val="28"/>
          <w:szCs w:val="28"/>
        </w:rPr>
        <w:t>日经过检测，并出据防雷防静电检测报告。</w:t>
      </w:r>
    </w:p>
    <w:p w14:paraId="04E16016">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加油站供配电系统及防雷防静电装置单元</w:t>
      </w:r>
      <w:r>
        <w:rPr>
          <w:rFonts w:ascii="宋体" w:hAnsi="宋体"/>
          <w:sz w:val="28"/>
          <w:szCs w:val="28"/>
        </w:rPr>
        <w:t>符合《汽车加油加气加氢站技术标准》（GB50156-2021）</w:t>
      </w:r>
      <w:r>
        <w:rPr>
          <w:rFonts w:hint="eastAsia" w:ascii="宋体" w:hAnsi="宋体"/>
          <w:sz w:val="28"/>
          <w:szCs w:val="28"/>
        </w:rPr>
        <w:t>的技术规范。</w:t>
      </w:r>
    </w:p>
    <w:p w14:paraId="048CD5C6">
      <w:pPr>
        <w:pStyle w:val="4"/>
        <w:spacing w:afterLines="100" w:line="500" w:lineRule="exact"/>
        <w:jc w:val="center"/>
        <w:rPr>
          <w:rFonts w:ascii="楷体_GB2312" w:hAnsi="宋体" w:eastAsia="楷体_GB2312"/>
          <w:kern w:val="3"/>
        </w:rPr>
      </w:pPr>
      <w:bookmarkStart w:id="471" w:name="_Toc71894954"/>
      <w:r>
        <w:rPr>
          <w:rFonts w:hint="eastAsia" w:ascii="楷体_GB2312" w:hAnsi="宋体" w:eastAsia="楷体_GB2312"/>
          <w:kern w:val="3"/>
        </w:rPr>
        <w:t>6.6安全管理评价单元</w:t>
      </w:r>
      <w:bookmarkEnd w:id="471"/>
    </w:p>
    <w:p w14:paraId="4EEAB401">
      <w:pPr>
        <w:pStyle w:val="4"/>
        <w:spacing w:afterLines="100" w:line="500" w:lineRule="exact"/>
        <w:rPr>
          <w:rFonts w:ascii="黑体" w:hAnsi="宋体"/>
          <w:kern w:val="3"/>
          <w:sz w:val="28"/>
          <w:szCs w:val="28"/>
        </w:rPr>
      </w:pPr>
      <w:bookmarkStart w:id="472" w:name="_Toc46241227"/>
      <w:bookmarkStart w:id="473" w:name="_Toc71894955"/>
      <w:r>
        <w:rPr>
          <w:rFonts w:ascii="黑体" w:hAnsi="宋体"/>
          <w:kern w:val="3"/>
          <w:sz w:val="28"/>
          <w:szCs w:val="28"/>
        </w:rPr>
        <w:t>6.6</w:t>
      </w:r>
      <w:r>
        <w:rPr>
          <w:rFonts w:hint="eastAsia" w:ascii="黑体" w:hAnsi="宋体"/>
          <w:kern w:val="3"/>
          <w:sz w:val="28"/>
          <w:szCs w:val="28"/>
        </w:rPr>
        <w:t>.1安全管理单元安全检查表</w:t>
      </w:r>
      <w:bookmarkEnd w:id="472"/>
      <w:bookmarkEnd w:id="473"/>
    </w:p>
    <w:p w14:paraId="7248743A">
      <w:pPr>
        <w:adjustRightInd w:val="0"/>
        <w:snapToGrid w:val="0"/>
        <w:spacing w:line="500" w:lineRule="exact"/>
        <w:ind w:firstLine="560" w:firstLineChars="200"/>
        <w:rPr>
          <w:rFonts w:hAnsi="宋体"/>
          <w:sz w:val="28"/>
          <w:szCs w:val="28"/>
        </w:rPr>
      </w:pPr>
      <w:r>
        <w:rPr>
          <w:rFonts w:hint="eastAsia" w:hAnsi="宋体"/>
          <w:sz w:val="28"/>
          <w:szCs w:val="28"/>
        </w:rPr>
        <w:t>根据《中华人民共和国安全生产法》、《云南省安全生产条例》、《生产经营单位安全培训规定》（安监总局令第3号公布，第80号修正）等相关要求，对本项目安全管理单元采用编制安全检查表进行分析评价，见表</w:t>
      </w:r>
      <w:r>
        <w:rPr>
          <w:rFonts w:hAnsi="宋体"/>
          <w:sz w:val="28"/>
          <w:szCs w:val="28"/>
        </w:rPr>
        <w:t>6</w:t>
      </w:r>
      <w:r>
        <w:rPr>
          <w:rFonts w:hint="eastAsia" w:hAnsi="宋体"/>
          <w:sz w:val="28"/>
          <w:szCs w:val="28"/>
        </w:rPr>
        <w:t>-9。</w:t>
      </w:r>
    </w:p>
    <w:p w14:paraId="1CDFA2A6">
      <w:pPr>
        <w:jc w:val="center"/>
        <w:rPr>
          <w:rFonts w:ascii="宋体" w:hAnsi="宋体"/>
          <w:bCs/>
          <w:sz w:val="28"/>
          <w:szCs w:val="28"/>
        </w:rPr>
      </w:pPr>
      <w:r>
        <w:rPr>
          <w:rFonts w:hint="eastAsia" w:ascii="宋体" w:hAnsi="宋体"/>
          <w:bCs/>
          <w:sz w:val="28"/>
          <w:szCs w:val="28"/>
        </w:rPr>
        <w:t>表</w:t>
      </w:r>
      <w:r>
        <w:rPr>
          <w:rFonts w:ascii="宋体" w:hAnsi="宋体"/>
          <w:bCs/>
          <w:sz w:val="28"/>
          <w:szCs w:val="28"/>
        </w:rPr>
        <w:t>6</w:t>
      </w:r>
      <w:r>
        <w:rPr>
          <w:rFonts w:hint="eastAsia" w:ascii="宋体" w:hAnsi="宋体"/>
          <w:bCs/>
          <w:sz w:val="28"/>
          <w:szCs w:val="28"/>
        </w:rPr>
        <w:t>-9安全管理检查表</w:t>
      </w:r>
    </w:p>
    <w:tbl>
      <w:tblPr>
        <w:tblStyle w:val="33"/>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323"/>
        <w:gridCol w:w="1777"/>
        <w:gridCol w:w="2127"/>
        <w:gridCol w:w="659"/>
      </w:tblGrid>
      <w:tr w14:paraId="052E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43" w:type="dxa"/>
            <w:vAlign w:val="center"/>
          </w:tcPr>
          <w:p w14:paraId="656EBFAC">
            <w:pPr>
              <w:adjustRightInd w:val="0"/>
              <w:spacing w:line="280" w:lineRule="exact"/>
              <w:jc w:val="center"/>
              <w:rPr>
                <w:rFonts w:ascii="宋体" w:hAnsi="宋体" w:cs="宋体"/>
                <w:b/>
                <w:bCs/>
                <w:szCs w:val="21"/>
              </w:rPr>
            </w:pPr>
            <w:r>
              <w:rPr>
                <w:rFonts w:hint="eastAsia" w:ascii="宋体" w:hAnsi="宋体" w:cs="宋体"/>
                <w:b/>
                <w:bCs/>
                <w:szCs w:val="21"/>
              </w:rPr>
              <w:t>序号</w:t>
            </w:r>
          </w:p>
        </w:tc>
        <w:tc>
          <w:tcPr>
            <w:tcW w:w="3323" w:type="dxa"/>
            <w:vAlign w:val="center"/>
          </w:tcPr>
          <w:p w14:paraId="7C11F621">
            <w:pPr>
              <w:adjustRightInd w:val="0"/>
              <w:spacing w:line="280" w:lineRule="exact"/>
              <w:jc w:val="center"/>
              <w:rPr>
                <w:rFonts w:ascii="宋体" w:hAnsi="宋体" w:cs="宋体"/>
                <w:b/>
                <w:bCs/>
                <w:szCs w:val="21"/>
              </w:rPr>
            </w:pPr>
            <w:r>
              <w:rPr>
                <w:rFonts w:hint="eastAsia" w:ascii="宋体" w:hAnsi="宋体" w:cs="宋体"/>
                <w:b/>
                <w:bCs/>
                <w:szCs w:val="21"/>
              </w:rPr>
              <w:t>检查内容</w:t>
            </w:r>
          </w:p>
        </w:tc>
        <w:tc>
          <w:tcPr>
            <w:tcW w:w="1777" w:type="dxa"/>
            <w:vAlign w:val="center"/>
          </w:tcPr>
          <w:p w14:paraId="3D347790">
            <w:pPr>
              <w:adjustRightInd w:val="0"/>
              <w:spacing w:line="280" w:lineRule="exact"/>
              <w:jc w:val="center"/>
              <w:rPr>
                <w:rFonts w:ascii="宋体" w:hAnsi="宋体" w:cs="宋体"/>
                <w:b/>
                <w:bCs/>
                <w:szCs w:val="21"/>
              </w:rPr>
            </w:pPr>
            <w:r>
              <w:rPr>
                <w:rFonts w:hint="eastAsia" w:ascii="宋体" w:hAnsi="宋体" w:cs="宋体"/>
                <w:b/>
                <w:bCs/>
                <w:szCs w:val="21"/>
              </w:rPr>
              <w:t>检查依据</w:t>
            </w:r>
          </w:p>
        </w:tc>
        <w:tc>
          <w:tcPr>
            <w:tcW w:w="2127" w:type="dxa"/>
            <w:vAlign w:val="center"/>
          </w:tcPr>
          <w:p w14:paraId="3E40BF7B">
            <w:pPr>
              <w:adjustRightInd w:val="0"/>
              <w:spacing w:line="280" w:lineRule="exact"/>
              <w:jc w:val="center"/>
              <w:rPr>
                <w:rFonts w:ascii="宋体" w:hAnsi="宋体" w:cs="宋体"/>
                <w:b/>
                <w:bCs/>
                <w:szCs w:val="21"/>
              </w:rPr>
            </w:pPr>
            <w:r>
              <w:rPr>
                <w:rFonts w:hint="eastAsia" w:ascii="宋体" w:hAnsi="宋体" w:cs="宋体"/>
                <w:b/>
                <w:bCs/>
                <w:szCs w:val="21"/>
              </w:rPr>
              <w:t>检查记录</w:t>
            </w:r>
          </w:p>
        </w:tc>
        <w:tc>
          <w:tcPr>
            <w:tcW w:w="659" w:type="dxa"/>
            <w:vAlign w:val="center"/>
          </w:tcPr>
          <w:p w14:paraId="1717BF8E">
            <w:pPr>
              <w:adjustRightInd w:val="0"/>
              <w:spacing w:line="280" w:lineRule="exact"/>
              <w:jc w:val="center"/>
              <w:rPr>
                <w:rFonts w:ascii="宋体" w:hAnsi="宋体" w:cs="宋体"/>
                <w:b/>
                <w:bCs/>
                <w:szCs w:val="21"/>
              </w:rPr>
            </w:pPr>
            <w:r>
              <w:rPr>
                <w:rFonts w:hint="eastAsia" w:ascii="宋体" w:hAnsi="宋体" w:cs="宋体"/>
                <w:b/>
                <w:bCs/>
                <w:szCs w:val="21"/>
              </w:rPr>
              <w:t>结论</w:t>
            </w:r>
          </w:p>
        </w:tc>
      </w:tr>
      <w:tr w14:paraId="07F9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53CDA071">
            <w:pPr>
              <w:numPr>
                <w:ilvl w:val="0"/>
                <w:numId w:val="9"/>
              </w:numPr>
              <w:adjustRightInd w:val="0"/>
              <w:spacing w:line="280" w:lineRule="exact"/>
              <w:jc w:val="center"/>
              <w:rPr>
                <w:rFonts w:ascii="宋体" w:hAnsi="宋体" w:cs="宋体"/>
                <w:b/>
                <w:bCs/>
                <w:szCs w:val="21"/>
              </w:rPr>
            </w:pPr>
          </w:p>
        </w:tc>
        <w:tc>
          <w:tcPr>
            <w:tcW w:w="3323" w:type="dxa"/>
            <w:vAlign w:val="center"/>
          </w:tcPr>
          <w:p w14:paraId="4D1E99F7">
            <w:pPr>
              <w:adjustRightInd w:val="0"/>
              <w:spacing w:line="280" w:lineRule="exact"/>
              <w:ind w:firstLine="420" w:firstLineChars="200"/>
              <w:rPr>
                <w:rFonts w:ascii="宋体" w:hAnsi="宋体" w:cs="宋体"/>
                <w:szCs w:val="21"/>
              </w:rPr>
            </w:pPr>
            <w:r>
              <w:rPr>
                <w:rFonts w:ascii="宋体" w:hAnsi="宋体" w:cs="宋体"/>
                <w:szCs w:val="2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5585191F">
            <w:pPr>
              <w:adjustRightInd w:val="0"/>
              <w:spacing w:line="280" w:lineRule="exact"/>
              <w:ind w:firstLine="420" w:firstLineChars="200"/>
              <w:rPr>
                <w:rFonts w:ascii="宋体" w:hAnsi="宋体" w:cs="宋体"/>
                <w:szCs w:val="21"/>
              </w:rPr>
            </w:pPr>
            <w:r>
              <w:rPr>
                <w:rFonts w:ascii="宋体" w:hAnsi="宋体" w:cs="宋体"/>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1777" w:type="dxa"/>
            <w:vAlign w:val="center"/>
          </w:tcPr>
          <w:p w14:paraId="5489121C">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129E773">
            <w:pPr>
              <w:adjustRightInd w:val="0"/>
              <w:spacing w:line="280" w:lineRule="exact"/>
              <w:jc w:val="center"/>
              <w:rPr>
                <w:rFonts w:ascii="宋体" w:hAnsi="宋体" w:cs="宋体"/>
                <w:b/>
                <w:bCs/>
                <w:szCs w:val="21"/>
              </w:rPr>
            </w:pPr>
            <w:r>
              <w:rPr>
                <w:rFonts w:hint="eastAsia" w:ascii="宋体" w:hAnsi="宋体" w:cs="宋体"/>
                <w:szCs w:val="21"/>
              </w:rPr>
              <w:t>第4条</w:t>
            </w:r>
          </w:p>
        </w:tc>
        <w:tc>
          <w:tcPr>
            <w:tcW w:w="2127" w:type="dxa"/>
            <w:vAlign w:val="center"/>
          </w:tcPr>
          <w:p w14:paraId="7A290168">
            <w:pPr>
              <w:adjustRightInd w:val="0"/>
              <w:spacing w:line="280" w:lineRule="exact"/>
              <w:jc w:val="left"/>
              <w:rPr>
                <w:rFonts w:ascii="宋体" w:hAnsi="宋体" w:cs="宋体"/>
                <w:szCs w:val="21"/>
              </w:rPr>
            </w:pPr>
            <w:r>
              <w:rPr>
                <w:rFonts w:hint="eastAsia" w:ascii="宋体" w:hAnsi="宋体" w:cs="宋体"/>
                <w:szCs w:val="21"/>
              </w:rPr>
              <w:t>已开展安全生产标准化建设。</w:t>
            </w:r>
          </w:p>
        </w:tc>
        <w:tc>
          <w:tcPr>
            <w:tcW w:w="659" w:type="dxa"/>
            <w:vAlign w:val="center"/>
          </w:tcPr>
          <w:p w14:paraId="5052CC51">
            <w:pPr>
              <w:adjustRightInd w:val="0"/>
              <w:spacing w:line="280" w:lineRule="exact"/>
              <w:jc w:val="left"/>
              <w:rPr>
                <w:rFonts w:ascii="宋体" w:hAnsi="宋体" w:cs="宋体"/>
                <w:szCs w:val="21"/>
              </w:rPr>
            </w:pPr>
            <w:r>
              <w:rPr>
                <w:rFonts w:hint="eastAsia" w:ascii="宋体" w:hAnsi="宋体" w:cs="宋体"/>
                <w:szCs w:val="21"/>
              </w:rPr>
              <w:t>符合</w:t>
            </w:r>
          </w:p>
        </w:tc>
      </w:tr>
      <w:tr w14:paraId="327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B890F25">
            <w:pPr>
              <w:numPr>
                <w:ilvl w:val="0"/>
                <w:numId w:val="9"/>
              </w:numPr>
              <w:adjustRightInd w:val="0"/>
              <w:spacing w:line="280" w:lineRule="exact"/>
              <w:jc w:val="center"/>
              <w:rPr>
                <w:rFonts w:ascii="宋体" w:hAnsi="宋体" w:cs="宋体"/>
                <w:b/>
                <w:bCs/>
                <w:szCs w:val="21"/>
              </w:rPr>
            </w:pPr>
          </w:p>
        </w:tc>
        <w:tc>
          <w:tcPr>
            <w:tcW w:w="3323" w:type="dxa"/>
            <w:vAlign w:val="center"/>
          </w:tcPr>
          <w:p w14:paraId="165EC50A">
            <w:pPr>
              <w:adjustRightInd w:val="0"/>
              <w:spacing w:line="280" w:lineRule="exact"/>
              <w:ind w:firstLine="420" w:firstLineChars="200"/>
              <w:rPr>
                <w:rFonts w:ascii="宋体" w:hAnsi="宋体" w:cs="宋体"/>
                <w:szCs w:val="21"/>
              </w:rPr>
            </w:pPr>
            <w:r>
              <w:rPr>
                <w:rFonts w:ascii="宋体" w:hAnsi="宋体" w:cs="宋体"/>
                <w:szCs w:val="21"/>
              </w:rPr>
              <w:t>生产经营单位的主要负责人是本单位安全生产第一责任人，对本单位的安全生产工作全面负责。其他负责人对职责范围内的安全生产工作负责。</w:t>
            </w:r>
          </w:p>
        </w:tc>
        <w:tc>
          <w:tcPr>
            <w:tcW w:w="1777" w:type="dxa"/>
            <w:vAlign w:val="center"/>
          </w:tcPr>
          <w:p w14:paraId="5B85C9A3">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5E9D0A7">
            <w:pPr>
              <w:adjustRightInd w:val="0"/>
              <w:spacing w:line="280" w:lineRule="exact"/>
              <w:jc w:val="center"/>
              <w:rPr>
                <w:rFonts w:ascii="宋体" w:hAnsi="宋体" w:cs="宋体"/>
                <w:b/>
                <w:bCs/>
                <w:szCs w:val="21"/>
              </w:rPr>
            </w:pPr>
            <w:r>
              <w:rPr>
                <w:rFonts w:hint="eastAsia" w:ascii="宋体" w:hAnsi="宋体" w:cs="宋体"/>
                <w:szCs w:val="21"/>
              </w:rPr>
              <w:t>第5条</w:t>
            </w:r>
          </w:p>
        </w:tc>
        <w:tc>
          <w:tcPr>
            <w:tcW w:w="2127" w:type="dxa"/>
            <w:vAlign w:val="center"/>
          </w:tcPr>
          <w:p w14:paraId="66B1DFE6">
            <w:pPr>
              <w:adjustRightInd w:val="0"/>
              <w:spacing w:line="280" w:lineRule="exact"/>
              <w:jc w:val="left"/>
              <w:rPr>
                <w:rFonts w:ascii="宋体" w:hAnsi="宋体" w:cs="宋体"/>
                <w:szCs w:val="21"/>
              </w:rPr>
            </w:pPr>
            <w:r>
              <w:rPr>
                <w:rFonts w:ascii="宋体" w:hAnsi="宋体" w:cs="宋体"/>
                <w:szCs w:val="21"/>
              </w:rPr>
              <w:t>主要负责人对本单位的安全生产工作全面负责</w:t>
            </w:r>
            <w:r>
              <w:rPr>
                <w:rFonts w:hint="eastAsia" w:ascii="宋体" w:hAnsi="宋体" w:cs="宋体"/>
                <w:szCs w:val="21"/>
              </w:rPr>
              <w:t>。</w:t>
            </w:r>
          </w:p>
        </w:tc>
        <w:tc>
          <w:tcPr>
            <w:tcW w:w="659" w:type="dxa"/>
            <w:vAlign w:val="center"/>
          </w:tcPr>
          <w:p w14:paraId="143F0D7A">
            <w:pPr>
              <w:adjustRightInd w:val="0"/>
              <w:spacing w:line="280" w:lineRule="exact"/>
              <w:jc w:val="left"/>
              <w:rPr>
                <w:rFonts w:ascii="宋体" w:hAnsi="宋体" w:cs="宋体"/>
                <w:szCs w:val="21"/>
              </w:rPr>
            </w:pPr>
            <w:r>
              <w:rPr>
                <w:rFonts w:hint="eastAsia" w:ascii="宋体" w:hAnsi="宋体" w:cs="宋体"/>
                <w:szCs w:val="21"/>
              </w:rPr>
              <w:t>符合</w:t>
            </w:r>
          </w:p>
        </w:tc>
      </w:tr>
      <w:tr w14:paraId="3ED7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6F94E80">
            <w:pPr>
              <w:numPr>
                <w:ilvl w:val="0"/>
                <w:numId w:val="9"/>
              </w:numPr>
              <w:adjustRightInd w:val="0"/>
              <w:spacing w:line="280" w:lineRule="exact"/>
              <w:jc w:val="center"/>
              <w:rPr>
                <w:rFonts w:ascii="宋体" w:hAnsi="宋体" w:cs="宋体"/>
                <w:szCs w:val="21"/>
              </w:rPr>
            </w:pPr>
          </w:p>
        </w:tc>
        <w:tc>
          <w:tcPr>
            <w:tcW w:w="3323" w:type="dxa"/>
            <w:vMerge w:val="restart"/>
            <w:vAlign w:val="center"/>
          </w:tcPr>
          <w:p w14:paraId="1C823A48">
            <w:pPr>
              <w:adjustRightInd w:val="0"/>
              <w:spacing w:line="280" w:lineRule="exact"/>
              <w:rPr>
                <w:rFonts w:ascii="宋体" w:hAnsi="宋体" w:cs="宋体"/>
                <w:szCs w:val="21"/>
              </w:rPr>
            </w:pPr>
            <w:r>
              <w:rPr>
                <w:rFonts w:ascii="宋体" w:hAnsi="宋体" w:cs="宋体"/>
                <w:szCs w:val="21"/>
              </w:rPr>
              <w:t>（一）建立健全并落实本单位全员安全生产责任制，加强安全生产标准化建设；</w:t>
            </w:r>
          </w:p>
          <w:p w14:paraId="348B7BD7">
            <w:pPr>
              <w:adjustRightInd w:val="0"/>
              <w:spacing w:line="280" w:lineRule="exact"/>
              <w:rPr>
                <w:rFonts w:ascii="宋体" w:hAnsi="宋体" w:cs="宋体"/>
                <w:szCs w:val="21"/>
              </w:rPr>
            </w:pPr>
            <w:r>
              <w:rPr>
                <w:rFonts w:ascii="宋体" w:hAnsi="宋体" w:cs="宋体"/>
                <w:szCs w:val="21"/>
              </w:rPr>
              <w:t>（二）组织制定并实施本单位安全生产规章制度和操作规程；</w:t>
            </w:r>
          </w:p>
          <w:p w14:paraId="4C58D73F">
            <w:pPr>
              <w:adjustRightInd w:val="0"/>
              <w:spacing w:line="280" w:lineRule="exact"/>
              <w:rPr>
                <w:rFonts w:ascii="宋体" w:hAnsi="宋体" w:cs="宋体"/>
                <w:szCs w:val="21"/>
              </w:rPr>
            </w:pPr>
            <w:r>
              <w:rPr>
                <w:rFonts w:ascii="宋体" w:hAnsi="宋体" w:cs="宋体"/>
                <w:szCs w:val="21"/>
              </w:rPr>
              <w:t>（三）组织制定并实施本单位安全生产教育和培训计划；</w:t>
            </w:r>
          </w:p>
          <w:p w14:paraId="645E4689">
            <w:pPr>
              <w:adjustRightInd w:val="0"/>
              <w:spacing w:line="280" w:lineRule="exact"/>
              <w:rPr>
                <w:rFonts w:ascii="宋体" w:hAnsi="宋体" w:cs="宋体"/>
                <w:szCs w:val="21"/>
              </w:rPr>
            </w:pPr>
            <w:r>
              <w:rPr>
                <w:rFonts w:ascii="宋体" w:hAnsi="宋体" w:cs="宋体"/>
                <w:szCs w:val="21"/>
              </w:rPr>
              <w:t>（四）保证本单位安全生产投入的有效实施；</w:t>
            </w:r>
          </w:p>
          <w:p w14:paraId="5FD60E27">
            <w:pPr>
              <w:adjustRightInd w:val="0"/>
              <w:spacing w:line="280" w:lineRule="exact"/>
              <w:rPr>
                <w:rFonts w:ascii="宋体" w:hAnsi="宋体" w:cs="宋体"/>
                <w:szCs w:val="21"/>
              </w:rPr>
            </w:pPr>
            <w:r>
              <w:rPr>
                <w:rFonts w:ascii="宋体" w:hAnsi="宋体" w:cs="宋体"/>
                <w:szCs w:val="21"/>
              </w:rPr>
              <w:t>（五）组织建立并落实安全风险分级管控和隐患排查治理双重预防工作机制，督促、检查本单位的安全生产工作，及时消除生产安全事故隐患；</w:t>
            </w:r>
          </w:p>
          <w:p w14:paraId="7E232ADE">
            <w:pPr>
              <w:adjustRightInd w:val="0"/>
              <w:spacing w:line="280" w:lineRule="exact"/>
              <w:rPr>
                <w:rFonts w:ascii="宋体" w:hAnsi="宋体" w:cs="宋体"/>
                <w:szCs w:val="21"/>
              </w:rPr>
            </w:pPr>
            <w:r>
              <w:rPr>
                <w:rFonts w:ascii="宋体" w:hAnsi="宋体" w:cs="宋体"/>
                <w:szCs w:val="21"/>
              </w:rPr>
              <w:t>（六）组织制定并实施本单位的生产安全事故应急救援预案；</w:t>
            </w:r>
          </w:p>
          <w:p w14:paraId="7D70EC53">
            <w:pPr>
              <w:adjustRightInd w:val="0"/>
              <w:spacing w:line="280" w:lineRule="exact"/>
              <w:rPr>
                <w:rFonts w:ascii="宋体" w:hAnsi="宋体" w:cs="宋体"/>
                <w:szCs w:val="21"/>
              </w:rPr>
            </w:pPr>
            <w:r>
              <w:rPr>
                <w:rFonts w:ascii="宋体" w:hAnsi="宋体" w:cs="宋体"/>
                <w:szCs w:val="21"/>
              </w:rPr>
              <w:t>（七）及时、如实报告生产安全事故。</w:t>
            </w:r>
          </w:p>
        </w:tc>
        <w:tc>
          <w:tcPr>
            <w:tcW w:w="1777" w:type="dxa"/>
            <w:vMerge w:val="restart"/>
            <w:vAlign w:val="center"/>
          </w:tcPr>
          <w:p w14:paraId="7EF6C8C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19DDCD80">
            <w:pPr>
              <w:adjustRightInd w:val="0"/>
              <w:spacing w:line="280" w:lineRule="exact"/>
              <w:jc w:val="center"/>
              <w:rPr>
                <w:rFonts w:ascii="宋体" w:hAnsi="宋体" w:cs="宋体"/>
                <w:szCs w:val="21"/>
              </w:rPr>
            </w:pPr>
            <w:r>
              <w:rPr>
                <w:rFonts w:hint="eastAsia" w:ascii="宋体" w:hAnsi="宋体" w:cs="宋体"/>
                <w:szCs w:val="21"/>
              </w:rPr>
              <w:t>第21条</w:t>
            </w:r>
          </w:p>
        </w:tc>
        <w:tc>
          <w:tcPr>
            <w:tcW w:w="2127" w:type="dxa"/>
            <w:vAlign w:val="center"/>
          </w:tcPr>
          <w:p w14:paraId="29861928">
            <w:pPr>
              <w:adjustRightInd w:val="0"/>
              <w:spacing w:line="280" w:lineRule="exact"/>
              <w:rPr>
                <w:rFonts w:ascii="宋体" w:hAnsi="宋体" w:cs="宋体"/>
                <w:szCs w:val="21"/>
              </w:rPr>
            </w:pPr>
            <w:r>
              <w:rPr>
                <w:rFonts w:hint="eastAsia" w:ascii="宋体" w:hAnsi="宋体" w:cs="宋体"/>
                <w:szCs w:val="21"/>
              </w:rPr>
              <w:t>已建立本单位安全生产责任制。</w:t>
            </w:r>
          </w:p>
        </w:tc>
        <w:tc>
          <w:tcPr>
            <w:tcW w:w="659" w:type="dxa"/>
            <w:vAlign w:val="center"/>
          </w:tcPr>
          <w:p w14:paraId="43712CD7">
            <w:pPr>
              <w:adjustRightInd w:val="0"/>
              <w:spacing w:line="280" w:lineRule="exact"/>
              <w:rPr>
                <w:rFonts w:ascii="宋体" w:hAnsi="宋体" w:cs="宋体"/>
                <w:szCs w:val="21"/>
              </w:rPr>
            </w:pPr>
            <w:r>
              <w:rPr>
                <w:rFonts w:hint="eastAsia" w:ascii="宋体" w:hAnsi="宋体" w:cs="宋体"/>
                <w:szCs w:val="21"/>
              </w:rPr>
              <w:t>符合</w:t>
            </w:r>
          </w:p>
        </w:tc>
      </w:tr>
      <w:tr w14:paraId="6E79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57255A9">
            <w:pPr>
              <w:adjustRightInd w:val="0"/>
              <w:spacing w:line="280" w:lineRule="exact"/>
              <w:jc w:val="center"/>
              <w:rPr>
                <w:rFonts w:ascii="宋体" w:hAnsi="宋体" w:cs="宋体"/>
                <w:szCs w:val="21"/>
              </w:rPr>
            </w:pPr>
          </w:p>
        </w:tc>
        <w:tc>
          <w:tcPr>
            <w:tcW w:w="3323" w:type="dxa"/>
            <w:vMerge w:val="continue"/>
            <w:vAlign w:val="center"/>
          </w:tcPr>
          <w:p w14:paraId="742C9F80">
            <w:pPr>
              <w:adjustRightInd w:val="0"/>
              <w:spacing w:line="280" w:lineRule="exact"/>
              <w:ind w:firstLine="420" w:firstLineChars="200"/>
              <w:rPr>
                <w:rFonts w:ascii="宋体" w:hAnsi="宋体" w:cs="宋体"/>
                <w:szCs w:val="21"/>
              </w:rPr>
            </w:pPr>
          </w:p>
        </w:tc>
        <w:tc>
          <w:tcPr>
            <w:tcW w:w="1777" w:type="dxa"/>
            <w:vMerge w:val="continue"/>
            <w:vAlign w:val="center"/>
          </w:tcPr>
          <w:p w14:paraId="11F513B3">
            <w:pPr>
              <w:adjustRightInd w:val="0"/>
              <w:spacing w:line="280" w:lineRule="exact"/>
              <w:jc w:val="center"/>
              <w:rPr>
                <w:rFonts w:ascii="宋体" w:hAnsi="宋体" w:cs="宋体"/>
                <w:szCs w:val="21"/>
              </w:rPr>
            </w:pPr>
          </w:p>
        </w:tc>
        <w:tc>
          <w:tcPr>
            <w:tcW w:w="2127" w:type="dxa"/>
            <w:vAlign w:val="center"/>
          </w:tcPr>
          <w:p w14:paraId="444DB7D3">
            <w:pPr>
              <w:adjustRightInd w:val="0"/>
              <w:spacing w:line="280" w:lineRule="exact"/>
              <w:rPr>
                <w:rFonts w:ascii="宋体" w:hAnsi="宋体" w:cs="宋体"/>
                <w:szCs w:val="21"/>
              </w:rPr>
            </w:pPr>
            <w:r>
              <w:rPr>
                <w:rFonts w:hint="eastAsia" w:ascii="宋体" w:hAnsi="宋体" w:cs="宋体"/>
                <w:szCs w:val="21"/>
              </w:rPr>
              <w:t>已制定了安全管理制度、安全操作规程。</w:t>
            </w:r>
          </w:p>
        </w:tc>
        <w:tc>
          <w:tcPr>
            <w:tcW w:w="659" w:type="dxa"/>
            <w:vAlign w:val="center"/>
          </w:tcPr>
          <w:p w14:paraId="6C27DFB1">
            <w:pPr>
              <w:adjustRightInd w:val="0"/>
              <w:spacing w:line="280" w:lineRule="exact"/>
              <w:rPr>
                <w:rFonts w:ascii="宋体" w:hAnsi="宋体" w:cs="宋体"/>
                <w:szCs w:val="21"/>
              </w:rPr>
            </w:pPr>
            <w:r>
              <w:rPr>
                <w:rFonts w:hint="eastAsia" w:ascii="宋体" w:hAnsi="宋体" w:cs="宋体"/>
                <w:szCs w:val="21"/>
              </w:rPr>
              <w:t>符合</w:t>
            </w:r>
          </w:p>
        </w:tc>
      </w:tr>
      <w:tr w14:paraId="47C6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B2CCF0D">
            <w:pPr>
              <w:adjustRightInd w:val="0"/>
              <w:spacing w:line="280" w:lineRule="exact"/>
              <w:jc w:val="center"/>
              <w:rPr>
                <w:rFonts w:ascii="宋体" w:hAnsi="宋体" w:cs="宋体"/>
                <w:szCs w:val="21"/>
              </w:rPr>
            </w:pPr>
          </w:p>
        </w:tc>
        <w:tc>
          <w:tcPr>
            <w:tcW w:w="3323" w:type="dxa"/>
            <w:vMerge w:val="continue"/>
            <w:vAlign w:val="center"/>
          </w:tcPr>
          <w:p w14:paraId="14830571">
            <w:pPr>
              <w:adjustRightInd w:val="0"/>
              <w:spacing w:line="280" w:lineRule="exact"/>
              <w:ind w:firstLine="420" w:firstLineChars="200"/>
              <w:rPr>
                <w:rFonts w:ascii="宋体" w:hAnsi="宋体" w:cs="宋体"/>
                <w:szCs w:val="21"/>
              </w:rPr>
            </w:pPr>
          </w:p>
        </w:tc>
        <w:tc>
          <w:tcPr>
            <w:tcW w:w="1777" w:type="dxa"/>
            <w:vMerge w:val="continue"/>
            <w:vAlign w:val="center"/>
          </w:tcPr>
          <w:p w14:paraId="7031C79E">
            <w:pPr>
              <w:adjustRightInd w:val="0"/>
              <w:spacing w:line="280" w:lineRule="exact"/>
              <w:jc w:val="center"/>
              <w:rPr>
                <w:rFonts w:ascii="宋体" w:hAnsi="宋体" w:cs="宋体"/>
                <w:szCs w:val="21"/>
              </w:rPr>
            </w:pPr>
          </w:p>
        </w:tc>
        <w:tc>
          <w:tcPr>
            <w:tcW w:w="2127" w:type="dxa"/>
            <w:vAlign w:val="center"/>
          </w:tcPr>
          <w:p w14:paraId="0C4B0241">
            <w:pPr>
              <w:adjustRightInd w:val="0"/>
              <w:spacing w:line="280" w:lineRule="exact"/>
              <w:rPr>
                <w:rFonts w:ascii="宋体" w:hAnsi="宋体" w:cs="宋体"/>
                <w:szCs w:val="21"/>
              </w:rPr>
            </w:pPr>
            <w:r>
              <w:rPr>
                <w:rFonts w:hint="eastAsia" w:ascii="宋体" w:hAnsi="宋体" w:cs="宋体"/>
                <w:szCs w:val="21"/>
              </w:rPr>
              <w:t>已建立教育培训制度。</w:t>
            </w:r>
          </w:p>
        </w:tc>
        <w:tc>
          <w:tcPr>
            <w:tcW w:w="659" w:type="dxa"/>
            <w:vAlign w:val="center"/>
          </w:tcPr>
          <w:p w14:paraId="7832D86A">
            <w:pPr>
              <w:adjustRightInd w:val="0"/>
              <w:spacing w:line="280" w:lineRule="exact"/>
              <w:rPr>
                <w:rFonts w:ascii="宋体" w:hAnsi="宋体" w:cs="宋体"/>
                <w:szCs w:val="21"/>
              </w:rPr>
            </w:pPr>
            <w:r>
              <w:rPr>
                <w:rFonts w:hint="eastAsia" w:ascii="宋体" w:hAnsi="宋体" w:cs="宋体"/>
                <w:szCs w:val="21"/>
              </w:rPr>
              <w:t>符合</w:t>
            </w:r>
          </w:p>
        </w:tc>
      </w:tr>
      <w:tr w14:paraId="7F7D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AF8DCE1">
            <w:pPr>
              <w:adjustRightInd w:val="0"/>
              <w:spacing w:line="280" w:lineRule="exact"/>
              <w:jc w:val="center"/>
              <w:rPr>
                <w:rFonts w:ascii="宋体" w:hAnsi="宋体" w:cs="宋体"/>
                <w:szCs w:val="21"/>
              </w:rPr>
            </w:pPr>
          </w:p>
        </w:tc>
        <w:tc>
          <w:tcPr>
            <w:tcW w:w="3323" w:type="dxa"/>
            <w:vMerge w:val="continue"/>
            <w:vAlign w:val="center"/>
          </w:tcPr>
          <w:p w14:paraId="728329C2">
            <w:pPr>
              <w:adjustRightInd w:val="0"/>
              <w:spacing w:line="280" w:lineRule="exact"/>
              <w:ind w:firstLine="420" w:firstLineChars="200"/>
              <w:rPr>
                <w:rFonts w:ascii="宋体" w:hAnsi="宋体" w:cs="宋体"/>
                <w:szCs w:val="21"/>
              </w:rPr>
            </w:pPr>
          </w:p>
        </w:tc>
        <w:tc>
          <w:tcPr>
            <w:tcW w:w="1777" w:type="dxa"/>
            <w:vMerge w:val="continue"/>
            <w:vAlign w:val="center"/>
          </w:tcPr>
          <w:p w14:paraId="016B0661">
            <w:pPr>
              <w:adjustRightInd w:val="0"/>
              <w:spacing w:line="280" w:lineRule="exact"/>
              <w:jc w:val="center"/>
              <w:rPr>
                <w:rFonts w:ascii="宋体" w:hAnsi="宋体" w:cs="宋体"/>
                <w:szCs w:val="21"/>
              </w:rPr>
            </w:pPr>
          </w:p>
        </w:tc>
        <w:tc>
          <w:tcPr>
            <w:tcW w:w="2127" w:type="dxa"/>
            <w:vAlign w:val="center"/>
          </w:tcPr>
          <w:p w14:paraId="66551BD3">
            <w:pPr>
              <w:adjustRightInd w:val="0"/>
              <w:spacing w:line="280" w:lineRule="exact"/>
              <w:rPr>
                <w:rFonts w:ascii="宋体" w:hAnsi="宋体" w:cs="宋体"/>
                <w:szCs w:val="21"/>
              </w:rPr>
            </w:pPr>
            <w:r>
              <w:rPr>
                <w:rFonts w:hint="eastAsia" w:ascii="宋体" w:hAnsi="宋体" w:cs="宋体"/>
                <w:szCs w:val="21"/>
              </w:rPr>
              <w:t>安全设施建设费用保障投入。</w:t>
            </w:r>
          </w:p>
        </w:tc>
        <w:tc>
          <w:tcPr>
            <w:tcW w:w="659" w:type="dxa"/>
            <w:vAlign w:val="center"/>
          </w:tcPr>
          <w:p w14:paraId="0CC09F47">
            <w:pPr>
              <w:adjustRightInd w:val="0"/>
              <w:spacing w:line="280" w:lineRule="exact"/>
              <w:rPr>
                <w:rFonts w:ascii="宋体" w:hAnsi="宋体" w:cs="宋体"/>
                <w:szCs w:val="21"/>
              </w:rPr>
            </w:pPr>
            <w:r>
              <w:rPr>
                <w:rFonts w:hint="eastAsia" w:ascii="宋体" w:hAnsi="宋体" w:cs="宋体"/>
                <w:szCs w:val="21"/>
              </w:rPr>
              <w:t>符合</w:t>
            </w:r>
          </w:p>
        </w:tc>
      </w:tr>
      <w:tr w14:paraId="6F10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71C78A7">
            <w:pPr>
              <w:adjustRightInd w:val="0"/>
              <w:spacing w:line="280" w:lineRule="exact"/>
              <w:jc w:val="center"/>
              <w:rPr>
                <w:rFonts w:ascii="宋体" w:hAnsi="宋体" w:cs="宋体"/>
                <w:szCs w:val="21"/>
              </w:rPr>
            </w:pPr>
          </w:p>
        </w:tc>
        <w:tc>
          <w:tcPr>
            <w:tcW w:w="3323" w:type="dxa"/>
            <w:vMerge w:val="continue"/>
            <w:vAlign w:val="center"/>
          </w:tcPr>
          <w:p w14:paraId="4CCA8E3D">
            <w:pPr>
              <w:adjustRightInd w:val="0"/>
              <w:spacing w:line="280" w:lineRule="exact"/>
              <w:ind w:firstLine="420" w:firstLineChars="200"/>
              <w:rPr>
                <w:rFonts w:ascii="宋体" w:hAnsi="宋体" w:cs="宋体"/>
                <w:szCs w:val="21"/>
              </w:rPr>
            </w:pPr>
          </w:p>
        </w:tc>
        <w:tc>
          <w:tcPr>
            <w:tcW w:w="1777" w:type="dxa"/>
            <w:vMerge w:val="continue"/>
            <w:vAlign w:val="center"/>
          </w:tcPr>
          <w:p w14:paraId="25458D38">
            <w:pPr>
              <w:adjustRightInd w:val="0"/>
              <w:spacing w:line="280" w:lineRule="exact"/>
              <w:jc w:val="center"/>
              <w:rPr>
                <w:rFonts w:ascii="宋体" w:hAnsi="宋体" w:cs="宋体"/>
                <w:szCs w:val="21"/>
              </w:rPr>
            </w:pPr>
          </w:p>
        </w:tc>
        <w:tc>
          <w:tcPr>
            <w:tcW w:w="2127" w:type="dxa"/>
            <w:vAlign w:val="center"/>
          </w:tcPr>
          <w:p w14:paraId="528E33A9">
            <w:pPr>
              <w:adjustRightInd w:val="0"/>
              <w:spacing w:line="280" w:lineRule="exact"/>
              <w:rPr>
                <w:rFonts w:ascii="宋体" w:hAnsi="宋体" w:cs="宋体"/>
                <w:szCs w:val="21"/>
              </w:rPr>
            </w:pPr>
            <w:r>
              <w:rPr>
                <w:rFonts w:hint="eastAsia" w:ascii="宋体" w:hAnsi="宋体" w:cs="宋体"/>
                <w:szCs w:val="21"/>
              </w:rPr>
              <w:t>已建立安全检查制度和隐患排查机制。</w:t>
            </w:r>
          </w:p>
        </w:tc>
        <w:tc>
          <w:tcPr>
            <w:tcW w:w="659" w:type="dxa"/>
            <w:vAlign w:val="center"/>
          </w:tcPr>
          <w:p w14:paraId="6CF27472">
            <w:pPr>
              <w:adjustRightInd w:val="0"/>
              <w:spacing w:line="280" w:lineRule="exact"/>
              <w:rPr>
                <w:rFonts w:ascii="宋体" w:hAnsi="宋体" w:cs="宋体"/>
                <w:szCs w:val="21"/>
              </w:rPr>
            </w:pPr>
            <w:r>
              <w:rPr>
                <w:rFonts w:hint="eastAsia" w:ascii="宋体" w:hAnsi="宋体" w:cs="宋体"/>
                <w:szCs w:val="21"/>
              </w:rPr>
              <w:t>符合</w:t>
            </w:r>
          </w:p>
        </w:tc>
      </w:tr>
      <w:tr w14:paraId="4EE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89B0D0F">
            <w:pPr>
              <w:adjustRightInd w:val="0"/>
              <w:spacing w:line="280" w:lineRule="exact"/>
              <w:jc w:val="center"/>
              <w:rPr>
                <w:rFonts w:ascii="宋体" w:hAnsi="宋体" w:cs="宋体"/>
                <w:szCs w:val="21"/>
              </w:rPr>
            </w:pPr>
          </w:p>
        </w:tc>
        <w:tc>
          <w:tcPr>
            <w:tcW w:w="3323" w:type="dxa"/>
            <w:vMerge w:val="continue"/>
            <w:vAlign w:val="center"/>
          </w:tcPr>
          <w:p w14:paraId="7E774EDC">
            <w:pPr>
              <w:adjustRightInd w:val="0"/>
              <w:spacing w:line="280" w:lineRule="exact"/>
              <w:ind w:firstLine="420" w:firstLineChars="200"/>
              <w:rPr>
                <w:rFonts w:ascii="宋体" w:hAnsi="宋体" w:cs="宋体"/>
                <w:szCs w:val="21"/>
              </w:rPr>
            </w:pPr>
          </w:p>
        </w:tc>
        <w:tc>
          <w:tcPr>
            <w:tcW w:w="1777" w:type="dxa"/>
            <w:vMerge w:val="continue"/>
            <w:vAlign w:val="center"/>
          </w:tcPr>
          <w:p w14:paraId="1611893A">
            <w:pPr>
              <w:adjustRightInd w:val="0"/>
              <w:spacing w:line="280" w:lineRule="exact"/>
              <w:jc w:val="center"/>
              <w:rPr>
                <w:rFonts w:ascii="宋体" w:hAnsi="宋体" w:cs="宋体"/>
                <w:szCs w:val="21"/>
              </w:rPr>
            </w:pPr>
          </w:p>
        </w:tc>
        <w:tc>
          <w:tcPr>
            <w:tcW w:w="2127" w:type="dxa"/>
            <w:vAlign w:val="center"/>
          </w:tcPr>
          <w:p w14:paraId="6BB734E7">
            <w:pPr>
              <w:adjustRightInd w:val="0"/>
              <w:spacing w:line="280" w:lineRule="exact"/>
              <w:rPr>
                <w:rFonts w:ascii="宋体" w:hAnsi="宋体" w:cs="宋体"/>
                <w:szCs w:val="21"/>
              </w:rPr>
            </w:pPr>
            <w:r>
              <w:rPr>
                <w:rFonts w:hint="eastAsia" w:ascii="宋体" w:hAnsi="宋体" w:cs="宋体"/>
                <w:szCs w:val="21"/>
              </w:rPr>
              <w:t>已备案的应急预案</w:t>
            </w:r>
            <w:r>
              <w:rPr>
                <w:rFonts w:hint="eastAsia" w:ascii="宋体" w:hAnsi="宋体" w:cs="宋体"/>
                <w:szCs w:val="21"/>
                <w:lang w:val="en-US" w:eastAsia="zh-CN"/>
              </w:rPr>
              <w:t>未满3年</w:t>
            </w:r>
            <w:r>
              <w:rPr>
                <w:rFonts w:hint="eastAsia" w:ascii="宋体" w:hAnsi="宋体" w:cs="宋体"/>
                <w:szCs w:val="21"/>
              </w:rPr>
              <w:t>。定期组织演练。</w:t>
            </w:r>
          </w:p>
        </w:tc>
        <w:tc>
          <w:tcPr>
            <w:tcW w:w="659" w:type="dxa"/>
            <w:vAlign w:val="center"/>
          </w:tcPr>
          <w:p w14:paraId="004C223D">
            <w:pPr>
              <w:adjustRightInd w:val="0"/>
              <w:spacing w:line="280" w:lineRule="exact"/>
              <w:rPr>
                <w:rFonts w:ascii="宋体" w:hAnsi="宋体" w:cs="宋体"/>
                <w:szCs w:val="21"/>
              </w:rPr>
            </w:pPr>
            <w:r>
              <w:rPr>
                <w:rFonts w:hint="eastAsia" w:ascii="宋体" w:hAnsi="宋体" w:cs="宋体"/>
                <w:szCs w:val="21"/>
              </w:rPr>
              <w:t>符合</w:t>
            </w:r>
          </w:p>
        </w:tc>
      </w:tr>
      <w:tr w14:paraId="20A5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D063A27">
            <w:pPr>
              <w:adjustRightInd w:val="0"/>
              <w:spacing w:line="280" w:lineRule="exact"/>
              <w:jc w:val="center"/>
              <w:rPr>
                <w:rFonts w:ascii="宋体" w:hAnsi="宋体" w:cs="宋体"/>
                <w:szCs w:val="21"/>
              </w:rPr>
            </w:pPr>
          </w:p>
        </w:tc>
        <w:tc>
          <w:tcPr>
            <w:tcW w:w="3323" w:type="dxa"/>
            <w:vMerge w:val="continue"/>
            <w:vAlign w:val="center"/>
          </w:tcPr>
          <w:p w14:paraId="52C5017E">
            <w:pPr>
              <w:adjustRightInd w:val="0"/>
              <w:spacing w:line="280" w:lineRule="exact"/>
              <w:ind w:firstLine="420" w:firstLineChars="200"/>
              <w:rPr>
                <w:rFonts w:ascii="宋体" w:hAnsi="宋体" w:cs="宋体"/>
                <w:szCs w:val="21"/>
              </w:rPr>
            </w:pPr>
          </w:p>
        </w:tc>
        <w:tc>
          <w:tcPr>
            <w:tcW w:w="1777" w:type="dxa"/>
            <w:vMerge w:val="continue"/>
            <w:vAlign w:val="center"/>
          </w:tcPr>
          <w:p w14:paraId="3C48E6F8">
            <w:pPr>
              <w:adjustRightInd w:val="0"/>
              <w:spacing w:line="280" w:lineRule="exact"/>
              <w:jc w:val="center"/>
              <w:rPr>
                <w:rFonts w:ascii="宋体" w:hAnsi="宋体" w:cs="宋体"/>
                <w:szCs w:val="21"/>
              </w:rPr>
            </w:pPr>
          </w:p>
        </w:tc>
        <w:tc>
          <w:tcPr>
            <w:tcW w:w="2127" w:type="dxa"/>
            <w:vAlign w:val="center"/>
          </w:tcPr>
          <w:p w14:paraId="5265488D">
            <w:pPr>
              <w:adjustRightInd w:val="0"/>
              <w:spacing w:line="280" w:lineRule="exact"/>
              <w:rPr>
                <w:rFonts w:ascii="宋体" w:hAnsi="宋体" w:cs="宋体"/>
                <w:szCs w:val="21"/>
              </w:rPr>
            </w:pPr>
            <w:r>
              <w:rPr>
                <w:rFonts w:hint="eastAsia" w:ascii="宋体" w:hAnsi="宋体" w:cs="宋体"/>
                <w:szCs w:val="21"/>
              </w:rPr>
              <w:t>经营以来未发生生产安全事故。</w:t>
            </w:r>
          </w:p>
        </w:tc>
        <w:tc>
          <w:tcPr>
            <w:tcW w:w="659" w:type="dxa"/>
            <w:vAlign w:val="center"/>
          </w:tcPr>
          <w:p w14:paraId="3A2385D2">
            <w:pPr>
              <w:adjustRightInd w:val="0"/>
              <w:spacing w:line="280" w:lineRule="exact"/>
              <w:rPr>
                <w:rFonts w:ascii="宋体" w:hAnsi="宋体" w:cs="宋体"/>
                <w:szCs w:val="21"/>
              </w:rPr>
            </w:pPr>
            <w:r>
              <w:rPr>
                <w:rFonts w:hint="eastAsia" w:ascii="宋体" w:hAnsi="宋体" w:cs="宋体"/>
                <w:szCs w:val="21"/>
              </w:rPr>
              <w:t>符合</w:t>
            </w:r>
          </w:p>
        </w:tc>
      </w:tr>
      <w:tr w14:paraId="3F6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E7C3350">
            <w:pPr>
              <w:numPr>
                <w:ilvl w:val="0"/>
                <w:numId w:val="9"/>
              </w:numPr>
              <w:adjustRightInd w:val="0"/>
              <w:spacing w:line="280" w:lineRule="exact"/>
              <w:jc w:val="center"/>
              <w:rPr>
                <w:rFonts w:ascii="宋体" w:hAnsi="宋体" w:cs="宋体"/>
                <w:szCs w:val="21"/>
              </w:rPr>
            </w:pPr>
          </w:p>
        </w:tc>
        <w:tc>
          <w:tcPr>
            <w:tcW w:w="3323" w:type="dxa"/>
            <w:vAlign w:val="center"/>
          </w:tcPr>
          <w:p w14:paraId="47FDB977">
            <w:pPr>
              <w:adjustRightInd w:val="0"/>
              <w:spacing w:line="280" w:lineRule="exact"/>
              <w:ind w:firstLine="420" w:firstLineChars="200"/>
              <w:rPr>
                <w:rFonts w:ascii="宋体" w:hAnsi="宋体" w:cs="宋体"/>
                <w:szCs w:val="21"/>
              </w:rPr>
            </w:pPr>
            <w:r>
              <w:rPr>
                <w:rFonts w:ascii="宋体" w:hAnsi="宋体" w:cs="宋体"/>
                <w:szCs w:val="21"/>
              </w:rPr>
              <w:t>矿山、金属冶炼、建筑施工、运输单位和危险物品的生产、经营、储存、装卸单位，应当设置安全生产管理机构或者配备专职安全生产管理人员。</w:t>
            </w:r>
          </w:p>
          <w:p w14:paraId="5813A4F8">
            <w:pPr>
              <w:adjustRightInd w:val="0"/>
              <w:spacing w:line="280" w:lineRule="exact"/>
              <w:ind w:firstLine="420" w:firstLineChars="200"/>
              <w:rPr>
                <w:rFonts w:ascii="宋体" w:hAnsi="宋体" w:cs="宋体"/>
                <w:szCs w:val="21"/>
              </w:rPr>
            </w:pPr>
            <w:r>
              <w:rPr>
                <w:rFonts w:ascii="宋体" w:hAnsi="宋体" w:cs="宋体"/>
                <w:szCs w:val="21"/>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1777" w:type="dxa"/>
            <w:vAlign w:val="center"/>
          </w:tcPr>
          <w:p w14:paraId="1F67B411">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6E865E30">
            <w:pPr>
              <w:adjustRightInd w:val="0"/>
              <w:spacing w:line="280" w:lineRule="exact"/>
              <w:jc w:val="center"/>
              <w:rPr>
                <w:rFonts w:ascii="宋体" w:hAnsi="宋体" w:cs="宋体"/>
                <w:szCs w:val="21"/>
              </w:rPr>
            </w:pPr>
            <w:r>
              <w:rPr>
                <w:rFonts w:hint="eastAsia" w:ascii="宋体" w:hAnsi="宋体" w:cs="宋体"/>
                <w:szCs w:val="21"/>
              </w:rPr>
              <w:t>第24条</w:t>
            </w:r>
          </w:p>
        </w:tc>
        <w:tc>
          <w:tcPr>
            <w:tcW w:w="2127" w:type="dxa"/>
            <w:vAlign w:val="center"/>
          </w:tcPr>
          <w:p w14:paraId="05108DB5">
            <w:pPr>
              <w:adjustRightInd w:val="0"/>
              <w:spacing w:line="280" w:lineRule="exact"/>
              <w:rPr>
                <w:rFonts w:ascii="宋体" w:hAnsi="宋体" w:cs="宋体"/>
                <w:szCs w:val="21"/>
              </w:rPr>
            </w:pPr>
            <w:r>
              <w:rPr>
                <w:rFonts w:hint="eastAsia" w:ascii="宋体" w:hAnsi="宋体" w:cs="宋体"/>
                <w:szCs w:val="21"/>
              </w:rPr>
              <w:t>设置安全员。</w:t>
            </w:r>
          </w:p>
        </w:tc>
        <w:tc>
          <w:tcPr>
            <w:tcW w:w="659" w:type="dxa"/>
            <w:vAlign w:val="center"/>
          </w:tcPr>
          <w:p w14:paraId="0B03FDF5">
            <w:pPr>
              <w:adjustRightInd w:val="0"/>
              <w:spacing w:line="280" w:lineRule="exact"/>
              <w:rPr>
                <w:rFonts w:ascii="宋体" w:hAnsi="宋体" w:cs="宋体"/>
                <w:szCs w:val="21"/>
              </w:rPr>
            </w:pPr>
            <w:r>
              <w:rPr>
                <w:rFonts w:hint="eastAsia" w:ascii="宋体" w:hAnsi="宋体" w:cs="宋体"/>
                <w:szCs w:val="21"/>
              </w:rPr>
              <w:t>符合</w:t>
            </w:r>
          </w:p>
        </w:tc>
      </w:tr>
      <w:tr w14:paraId="32E5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14D04BA">
            <w:pPr>
              <w:numPr>
                <w:ilvl w:val="0"/>
                <w:numId w:val="9"/>
              </w:numPr>
              <w:adjustRightInd w:val="0"/>
              <w:spacing w:line="280" w:lineRule="exact"/>
              <w:jc w:val="center"/>
              <w:rPr>
                <w:rFonts w:ascii="宋体" w:hAnsi="宋体" w:cs="宋体"/>
                <w:szCs w:val="21"/>
              </w:rPr>
            </w:pPr>
          </w:p>
        </w:tc>
        <w:tc>
          <w:tcPr>
            <w:tcW w:w="3323" w:type="dxa"/>
            <w:vAlign w:val="center"/>
          </w:tcPr>
          <w:p w14:paraId="72CD8141">
            <w:pPr>
              <w:adjustRightInd w:val="0"/>
              <w:spacing w:line="280" w:lineRule="exact"/>
              <w:ind w:firstLine="420" w:firstLineChars="200"/>
              <w:rPr>
                <w:rFonts w:ascii="宋体" w:hAnsi="宋体" w:cs="宋体"/>
                <w:szCs w:val="21"/>
              </w:rPr>
            </w:pPr>
            <w:r>
              <w:rPr>
                <w:rFonts w:ascii="宋体" w:hAnsi="宋体" w:cs="宋体"/>
                <w:szCs w:val="21"/>
              </w:rPr>
              <w:t>生产经营单位的主要负责人和安全生产管理人员必须具备与本单位所从事的生产经营活动相应的安全生产知识和管理能力。</w:t>
            </w:r>
          </w:p>
          <w:p w14:paraId="257BD610">
            <w:pPr>
              <w:adjustRightInd w:val="0"/>
              <w:spacing w:line="280" w:lineRule="exact"/>
              <w:ind w:firstLine="420" w:firstLineChars="200"/>
              <w:rPr>
                <w:rFonts w:ascii="宋体" w:hAnsi="宋体" w:cs="宋体"/>
                <w:szCs w:val="21"/>
              </w:rPr>
            </w:pPr>
            <w:r>
              <w:rPr>
                <w:rFonts w:ascii="宋体" w:hAnsi="宋体" w:cs="宋体"/>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1777" w:type="dxa"/>
            <w:vAlign w:val="center"/>
          </w:tcPr>
          <w:p w14:paraId="21C5B46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80C0991">
            <w:pPr>
              <w:adjustRightInd w:val="0"/>
              <w:spacing w:line="280" w:lineRule="exact"/>
              <w:jc w:val="center"/>
              <w:rPr>
                <w:rFonts w:ascii="宋体" w:hAnsi="宋体" w:cs="宋体"/>
                <w:szCs w:val="21"/>
              </w:rPr>
            </w:pPr>
            <w:r>
              <w:rPr>
                <w:rFonts w:hint="eastAsia" w:ascii="宋体" w:hAnsi="宋体" w:cs="宋体"/>
                <w:szCs w:val="21"/>
              </w:rPr>
              <w:t>第27条</w:t>
            </w:r>
          </w:p>
        </w:tc>
        <w:tc>
          <w:tcPr>
            <w:tcW w:w="2127" w:type="dxa"/>
            <w:vAlign w:val="center"/>
          </w:tcPr>
          <w:p w14:paraId="06B44CDE">
            <w:pPr>
              <w:adjustRightInd w:val="0"/>
              <w:spacing w:line="280" w:lineRule="exact"/>
              <w:rPr>
                <w:rFonts w:ascii="宋体" w:hAnsi="宋体" w:cs="宋体"/>
                <w:szCs w:val="21"/>
              </w:rPr>
            </w:pPr>
            <w:r>
              <w:rPr>
                <w:rFonts w:hint="eastAsia" w:ascii="宋体" w:hAnsi="宋体" w:cs="宋体"/>
                <w:szCs w:val="21"/>
              </w:rPr>
              <w:t>该站站长、安全员均取得安全合格证。</w:t>
            </w:r>
          </w:p>
          <w:p w14:paraId="415ABE54">
            <w:pPr>
              <w:adjustRightInd w:val="0"/>
              <w:spacing w:line="280" w:lineRule="exact"/>
              <w:rPr>
                <w:rFonts w:ascii="宋体" w:hAnsi="宋体" w:cs="宋体"/>
                <w:szCs w:val="21"/>
              </w:rPr>
            </w:pPr>
          </w:p>
          <w:p w14:paraId="436E4333">
            <w:pPr>
              <w:adjustRightInd w:val="0"/>
              <w:spacing w:line="280" w:lineRule="exact"/>
              <w:rPr>
                <w:rFonts w:ascii="宋体" w:hAnsi="宋体" w:cs="宋体"/>
                <w:szCs w:val="21"/>
              </w:rPr>
            </w:pPr>
          </w:p>
        </w:tc>
        <w:tc>
          <w:tcPr>
            <w:tcW w:w="659" w:type="dxa"/>
            <w:vAlign w:val="center"/>
          </w:tcPr>
          <w:p w14:paraId="141899D4">
            <w:pPr>
              <w:adjustRightInd w:val="0"/>
              <w:spacing w:line="280" w:lineRule="exact"/>
              <w:rPr>
                <w:rFonts w:ascii="宋体" w:hAnsi="宋体" w:cs="宋体"/>
                <w:szCs w:val="21"/>
              </w:rPr>
            </w:pPr>
            <w:r>
              <w:rPr>
                <w:rFonts w:hint="eastAsia" w:ascii="宋体" w:hAnsi="宋体" w:cs="宋体"/>
                <w:szCs w:val="21"/>
              </w:rPr>
              <w:t>符合</w:t>
            </w:r>
          </w:p>
        </w:tc>
      </w:tr>
      <w:tr w14:paraId="7579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18A7E7C">
            <w:pPr>
              <w:numPr>
                <w:ilvl w:val="0"/>
                <w:numId w:val="9"/>
              </w:numPr>
              <w:adjustRightInd w:val="0"/>
              <w:spacing w:line="280" w:lineRule="exact"/>
              <w:jc w:val="center"/>
              <w:rPr>
                <w:rFonts w:ascii="宋体" w:hAnsi="宋体" w:cs="宋体"/>
                <w:szCs w:val="21"/>
              </w:rPr>
            </w:pPr>
          </w:p>
        </w:tc>
        <w:tc>
          <w:tcPr>
            <w:tcW w:w="3323" w:type="dxa"/>
            <w:vAlign w:val="center"/>
          </w:tcPr>
          <w:p w14:paraId="47A8737F">
            <w:pPr>
              <w:adjustRightInd w:val="0"/>
              <w:spacing w:line="280" w:lineRule="exact"/>
              <w:ind w:firstLine="420" w:firstLineChars="200"/>
              <w:rPr>
                <w:rFonts w:ascii="宋体" w:hAnsi="宋体" w:cs="宋体"/>
                <w:szCs w:val="21"/>
              </w:rPr>
            </w:pPr>
            <w:r>
              <w:rPr>
                <w:rFonts w:ascii="宋体" w:hAnsi="宋体" w:cs="宋体"/>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777" w:type="dxa"/>
            <w:vAlign w:val="center"/>
          </w:tcPr>
          <w:p w14:paraId="61727DCF">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64179DD">
            <w:pPr>
              <w:adjustRightInd w:val="0"/>
              <w:spacing w:line="280" w:lineRule="exact"/>
              <w:jc w:val="center"/>
              <w:rPr>
                <w:rFonts w:ascii="宋体" w:hAnsi="宋体" w:cs="宋体"/>
                <w:szCs w:val="21"/>
              </w:rPr>
            </w:pPr>
            <w:r>
              <w:rPr>
                <w:rFonts w:hint="eastAsia" w:ascii="宋体" w:hAnsi="宋体" w:cs="宋体"/>
                <w:szCs w:val="21"/>
              </w:rPr>
              <w:t>第28条</w:t>
            </w:r>
          </w:p>
        </w:tc>
        <w:tc>
          <w:tcPr>
            <w:tcW w:w="2127" w:type="dxa"/>
            <w:vAlign w:val="center"/>
          </w:tcPr>
          <w:p w14:paraId="3AE1BC56">
            <w:pPr>
              <w:adjustRightInd w:val="0"/>
              <w:spacing w:line="280" w:lineRule="exact"/>
              <w:rPr>
                <w:rFonts w:ascii="宋体" w:hAnsi="宋体" w:cs="宋体"/>
                <w:szCs w:val="21"/>
              </w:rPr>
            </w:pPr>
            <w:r>
              <w:rPr>
                <w:rFonts w:hint="eastAsia" w:ascii="宋体" w:hAnsi="宋体" w:cs="宋体"/>
                <w:szCs w:val="21"/>
              </w:rPr>
              <w:t>该站从业人员经过培训合格，上岗作业。</w:t>
            </w:r>
          </w:p>
        </w:tc>
        <w:tc>
          <w:tcPr>
            <w:tcW w:w="659" w:type="dxa"/>
            <w:vAlign w:val="center"/>
          </w:tcPr>
          <w:p w14:paraId="10387721">
            <w:pPr>
              <w:adjustRightInd w:val="0"/>
              <w:spacing w:line="280" w:lineRule="exact"/>
              <w:rPr>
                <w:rFonts w:ascii="宋体" w:hAnsi="宋体" w:cs="宋体"/>
                <w:szCs w:val="21"/>
              </w:rPr>
            </w:pPr>
            <w:r>
              <w:rPr>
                <w:rFonts w:hint="eastAsia" w:ascii="宋体" w:hAnsi="宋体" w:cs="宋体"/>
                <w:szCs w:val="21"/>
              </w:rPr>
              <w:t>符合</w:t>
            </w:r>
          </w:p>
        </w:tc>
      </w:tr>
      <w:tr w14:paraId="438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6EC521F">
            <w:pPr>
              <w:numPr>
                <w:ilvl w:val="0"/>
                <w:numId w:val="9"/>
              </w:numPr>
              <w:adjustRightInd w:val="0"/>
              <w:spacing w:line="280" w:lineRule="exact"/>
              <w:jc w:val="center"/>
              <w:rPr>
                <w:rFonts w:ascii="宋体" w:hAnsi="宋体" w:cs="宋体"/>
                <w:szCs w:val="21"/>
              </w:rPr>
            </w:pPr>
          </w:p>
        </w:tc>
        <w:tc>
          <w:tcPr>
            <w:tcW w:w="3323" w:type="dxa"/>
            <w:vAlign w:val="center"/>
          </w:tcPr>
          <w:p w14:paraId="200F3B7B">
            <w:pPr>
              <w:adjustRightInd w:val="0"/>
              <w:spacing w:line="280" w:lineRule="exact"/>
              <w:ind w:firstLine="420" w:firstLineChars="200"/>
              <w:rPr>
                <w:rFonts w:ascii="宋体" w:hAnsi="宋体" w:cs="宋体"/>
                <w:szCs w:val="21"/>
              </w:rPr>
            </w:pPr>
            <w:r>
              <w:rPr>
                <w:rFonts w:ascii="宋体" w:hAnsi="宋体" w:cs="宋体"/>
                <w:szCs w:val="21"/>
              </w:rPr>
              <w:t>生产经营单位应当在有较大危险因素的生产经营场所和有关设施、设备上，设置明显的安全警示标志。</w:t>
            </w:r>
          </w:p>
        </w:tc>
        <w:tc>
          <w:tcPr>
            <w:tcW w:w="1777" w:type="dxa"/>
            <w:vAlign w:val="center"/>
          </w:tcPr>
          <w:p w14:paraId="6D8A114B">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51FF64F3">
            <w:pPr>
              <w:adjustRightInd w:val="0"/>
              <w:spacing w:line="280" w:lineRule="exact"/>
              <w:jc w:val="center"/>
              <w:rPr>
                <w:rFonts w:ascii="宋体" w:hAnsi="宋体" w:cs="宋体"/>
                <w:szCs w:val="21"/>
              </w:rPr>
            </w:pPr>
            <w:r>
              <w:rPr>
                <w:rFonts w:hint="eastAsia" w:ascii="宋体" w:hAnsi="宋体" w:cs="宋体"/>
                <w:szCs w:val="21"/>
              </w:rPr>
              <w:t>第35条</w:t>
            </w:r>
          </w:p>
        </w:tc>
        <w:tc>
          <w:tcPr>
            <w:tcW w:w="2127" w:type="dxa"/>
            <w:vAlign w:val="center"/>
          </w:tcPr>
          <w:p w14:paraId="019F76EC">
            <w:pPr>
              <w:adjustRightInd w:val="0"/>
              <w:spacing w:line="280" w:lineRule="exact"/>
              <w:rPr>
                <w:rFonts w:ascii="宋体" w:hAnsi="宋体" w:cs="宋体"/>
                <w:szCs w:val="21"/>
              </w:rPr>
            </w:pPr>
            <w:r>
              <w:rPr>
                <w:rFonts w:hint="eastAsia" w:ascii="宋体" w:hAnsi="宋体" w:cs="宋体"/>
                <w:szCs w:val="21"/>
              </w:rPr>
              <w:t>现场检查，加油站安全警示标志基本齐全。</w:t>
            </w:r>
          </w:p>
        </w:tc>
        <w:tc>
          <w:tcPr>
            <w:tcW w:w="659" w:type="dxa"/>
            <w:vAlign w:val="center"/>
          </w:tcPr>
          <w:p w14:paraId="006A0CF3">
            <w:pPr>
              <w:adjustRightInd w:val="0"/>
              <w:spacing w:line="280" w:lineRule="exact"/>
              <w:rPr>
                <w:rFonts w:ascii="宋体" w:hAnsi="宋体" w:cs="宋体"/>
                <w:szCs w:val="21"/>
              </w:rPr>
            </w:pPr>
            <w:r>
              <w:rPr>
                <w:rFonts w:hint="eastAsia" w:ascii="宋体" w:hAnsi="宋体" w:cs="宋体"/>
                <w:szCs w:val="21"/>
              </w:rPr>
              <w:t>符合</w:t>
            </w:r>
          </w:p>
        </w:tc>
      </w:tr>
      <w:tr w14:paraId="374D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5213279">
            <w:pPr>
              <w:numPr>
                <w:ilvl w:val="0"/>
                <w:numId w:val="9"/>
              </w:numPr>
              <w:adjustRightInd w:val="0"/>
              <w:spacing w:line="280" w:lineRule="exact"/>
              <w:jc w:val="center"/>
              <w:rPr>
                <w:rFonts w:ascii="宋体" w:hAnsi="宋体" w:cs="宋体"/>
                <w:szCs w:val="21"/>
              </w:rPr>
            </w:pPr>
          </w:p>
        </w:tc>
        <w:tc>
          <w:tcPr>
            <w:tcW w:w="3323" w:type="dxa"/>
            <w:vAlign w:val="center"/>
          </w:tcPr>
          <w:p w14:paraId="712F70CD">
            <w:pPr>
              <w:adjustRightInd w:val="0"/>
              <w:spacing w:line="280" w:lineRule="exact"/>
              <w:ind w:firstLine="420" w:firstLineChars="200"/>
              <w:rPr>
                <w:rFonts w:ascii="宋体" w:hAnsi="宋体" w:cs="宋体"/>
                <w:szCs w:val="21"/>
              </w:rPr>
            </w:pPr>
            <w:r>
              <w:rPr>
                <w:rFonts w:ascii="宋体" w:hAnsi="宋体" w:cs="宋体"/>
                <w:szCs w:val="21"/>
              </w:rPr>
              <w:t>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tc>
        <w:tc>
          <w:tcPr>
            <w:tcW w:w="1777" w:type="dxa"/>
            <w:vAlign w:val="center"/>
          </w:tcPr>
          <w:p w14:paraId="47C33226">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3BD01522">
            <w:pPr>
              <w:adjustRightInd w:val="0"/>
              <w:spacing w:line="280" w:lineRule="exact"/>
              <w:jc w:val="center"/>
              <w:rPr>
                <w:rFonts w:ascii="宋体" w:hAnsi="宋体" w:cs="宋体"/>
                <w:szCs w:val="21"/>
              </w:rPr>
            </w:pPr>
            <w:r>
              <w:rPr>
                <w:rFonts w:hint="eastAsia" w:ascii="宋体" w:hAnsi="宋体" w:cs="宋体"/>
                <w:szCs w:val="21"/>
              </w:rPr>
              <w:t>第79条</w:t>
            </w:r>
          </w:p>
        </w:tc>
        <w:tc>
          <w:tcPr>
            <w:tcW w:w="2127" w:type="dxa"/>
            <w:vAlign w:val="center"/>
          </w:tcPr>
          <w:p w14:paraId="65281148">
            <w:pPr>
              <w:adjustRightInd w:val="0"/>
              <w:spacing w:line="280" w:lineRule="exact"/>
              <w:rPr>
                <w:rFonts w:ascii="宋体" w:hAnsi="宋体" w:cs="宋体"/>
                <w:szCs w:val="21"/>
              </w:rPr>
            </w:pPr>
            <w:r>
              <w:rPr>
                <w:rFonts w:hint="eastAsia" w:ascii="宋体" w:hAnsi="宋体" w:cs="宋体"/>
                <w:szCs w:val="21"/>
              </w:rPr>
              <w:t>编制应急预案，并已备案，组织了演练。</w:t>
            </w:r>
          </w:p>
        </w:tc>
        <w:tc>
          <w:tcPr>
            <w:tcW w:w="659" w:type="dxa"/>
            <w:vAlign w:val="center"/>
          </w:tcPr>
          <w:p w14:paraId="63A331D5">
            <w:pPr>
              <w:adjustRightInd w:val="0"/>
              <w:spacing w:line="280" w:lineRule="exact"/>
              <w:rPr>
                <w:rFonts w:ascii="宋体" w:hAnsi="宋体" w:cs="宋体"/>
                <w:szCs w:val="21"/>
              </w:rPr>
            </w:pPr>
            <w:r>
              <w:rPr>
                <w:rFonts w:hint="eastAsia" w:ascii="宋体" w:hAnsi="宋体" w:cs="宋体"/>
                <w:szCs w:val="21"/>
              </w:rPr>
              <w:t>符合</w:t>
            </w:r>
          </w:p>
        </w:tc>
      </w:tr>
      <w:tr w14:paraId="3BAA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7C06DAC">
            <w:pPr>
              <w:numPr>
                <w:ilvl w:val="0"/>
                <w:numId w:val="9"/>
              </w:numPr>
              <w:adjustRightInd w:val="0"/>
              <w:spacing w:line="280" w:lineRule="exact"/>
              <w:jc w:val="center"/>
              <w:rPr>
                <w:rFonts w:ascii="宋体" w:hAnsi="宋体" w:cs="宋体"/>
                <w:szCs w:val="21"/>
              </w:rPr>
            </w:pPr>
          </w:p>
        </w:tc>
        <w:tc>
          <w:tcPr>
            <w:tcW w:w="3323" w:type="dxa"/>
            <w:vAlign w:val="center"/>
          </w:tcPr>
          <w:p w14:paraId="29171647">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按照规定推进安全生产标准化建设并持续规范运行，建立健全并实施安全生产规章制度和操作规程，落实安全生产责任制，明确各岗位的责任人员、责任范围和考核标准等内容，并严格监督和考核。</w:t>
            </w:r>
          </w:p>
        </w:tc>
        <w:tc>
          <w:tcPr>
            <w:tcW w:w="1777" w:type="dxa"/>
            <w:vAlign w:val="center"/>
          </w:tcPr>
          <w:p w14:paraId="3AF6EFB9">
            <w:pPr>
              <w:snapToGrid w:val="0"/>
              <w:jc w:val="center"/>
              <w:rPr>
                <w:rFonts w:ascii="宋体" w:hAnsi="宋体" w:cs="宋体"/>
                <w:szCs w:val="21"/>
              </w:rPr>
            </w:pPr>
            <w:r>
              <w:rPr>
                <w:rFonts w:hint="eastAsia" w:ascii="宋体" w:hAnsi="宋体" w:cs="宋体"/>
                <w:spacing w:val="4"/>
                <w:kern w:val="10"/>
                <w:position w:val="2"/>
                <w:szCs w:val="21"/>
              </w:rPr>
              <w:t>《云南省安全生产条例》第十二条</w:t>
            </w:r>
          </w:p>
        </w:tc>
        <w:tc>
          <w:tcPr>
            <w:tcW w:w="2127" w:type="dxa"/>
            <w:vAlign w:val="center"/>
          </w:tcPr>
          <w:p w14:paraId="5EB38D0E">
            <w:pPr>
              <w:snapToGrid w:val="0"/>
              <w:rPr>
                <w:rFonts w:ascii="宋体" w:hAnsi="宋体" w:cs="宋体"/>
                <w:szCs w:val="21"/>
              </w:rPr>
            </w:pPr>
            <w:r>
              <w:rPr>
                <w:rFonts w:hint="eastAsia" w:ascii="宋体" w:hAnsi="宋体" w:cs="宋体"/>
                <w:szCs w:val="21"/>
              </w:rPr>
              <w:t>企业安全</w:t>
            </w:r>
            <w:r>
              <w:rPr>
                <w:rFonts w:hint="eastAsia" w:ascii="宋体" w:hAnsi="宋体" w:cs="宋体"/>
                <w:szCs w:val="21"/>
                <w:shd w:val="clear" w:color="auto" w:fill="FFFFFF"/>
              </w:rPr>
              <w:t>生产规章制度和操作规程、安全生产责任制基本齐全。已取得安全生产标准化证书。</w:t>
            </w:r>
          </w:p>
        </w:tc>
        <w:tc>
          <w:tcPr>
            <w:tcW w:w="659" w:type="dxa"/>
            <w:vAlign w:val="center"/>
          </w:tcPr>
          <w:p w14:paraId="0498B748">
            <w:pPr>
              <w:snapToGrid w:val="0"/>
              <w:jc w:val="center"/>
              <w:rPr>
                <w:rFonts w:ascii="宋体" w:hAnsi="宋体" w:cs="宋体"/>
                <w:szCs w:val="21"/>
              </w:rPr>
            </w:pPr>
            <w:r>
              <w:rPr>
                <w:rFonts w:hint="eastAsia" w:ascii="宋体" w:hAnsi="宋体" w:cs="宋体"/>
                <w:szCs w:val="21"/>
              </w:rPr>
              <w:t>符合</w:t>
            </w:r>
          </w:p>
        </w:tc>
      </w:tr>
      <w:tr w14:paraId="722B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0038B8C">
            <w:pPr>
              <w:numPr>
                <w:ilvl w:val="0"/>
                <w:numId w:val="9"/>
              </w:numPr>
              <w:adjustRightInd w:val="0"/>
              <w:spacing w:line="280" w:lineRule="exact"/>
              <w:jc w:val="center"/>
              <w:rPr>
                <w:rFonts w:ascii="宋体" w:hAnsi="宋体" w:cs="宋体"/>
                <w:szCs w:val="21"/>
              </w:rPr>
            </w:pPr>
          </w:p>
        </w:tc>
        <w:tc>
          <w:tcPr>
            <w:tcW w:w="3323" w:type="dxa"/>
            <w:vAlign w:val="center"/>
          </w:tcPr>
          <w:p w14:paraId="7589D851">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生产经营单位应当保证安全生产所必需的资金投入。有关生产经营单位应当按照规定提取、使用安全生产费用，在成本中据实列支，专门用于改善安全生产条件。</w:t>
            </w:r>
          </w:p>
        </w:tc>
        <w:tc>
          <w:tcPr>
            <w:tcW w:w="1777" w:type="dxa"/>
            <w:vAlign w:val="center"/>
          </w:tcPr>
          <w:p w14:paraId="6F5D519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《云南省安全生产条例》第十三条</w:t>
            </w:r>
          </w:p>
        </w:tc>
        <w:tc>
          <w:tcPr>
            <w:tcW w:w="2127" w:type="dxa"/>
            <w:vAlign w:val="center"/>
          </w:tcPr>
          <w:p w14:paraId="2DB1B6FF">
            <w:pPr>
              <w:snapToGrid w:val="0"/>
              <w:rPr>
                <w:rFonts w:ascii="宋体" w:hAnsi="宋体" w:cs="宋体"/>
                <w:szCs w:val="21"/>
              </w:rPr>
            </w:pPr>
            <w:r>
              <w:rPr>
                <w:rFonts w:hint="eastAsia" w:ascii="宋体" w:hAnsi="宋体" w:cs="宋体"/>
                <w:szCs w:val="21"/>
              </w:rPr>
              <w:t>保障投入，建立了使用台账。</w:t>
            </w:r>
          </w:p>
        </w:tc>
        <w:tc>
          <w:tcPr>
            <w:tcW w:w="659" w:type="dxa"/>
            <w:vAlign w:val="center"/>
          </w:tcPr>
          <w:p w14:paraId="6FCE3703">
            <w:pPr>
              <w:snapToGrid w:val="0"/>
              <w:jc w:val="center"/>
              <w:rPr>
                <w:rFonts w:ascii="宋体" w:hAnsi="宋体" w:cs="宋体"/>
                <w:szCs w:val="21"/>
              </w:rPr>
            </w:pPr>
            <w:r>
              <w:rPr>
                <w:rFonts w:hint="eastAsia" w:ascii="宋体" w:hAnsi="宋体" w:cs="宋体"/>
                <w:szCs w:val="21"/>
              </w:rPr>
              <w:t>符合</w:t>
            </w:r>
          </w:p>
        </w:tc>
      </w:tr>
      <w:tr w14:paraId="48D2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E50F42C">
            <w:pPr>
              <w:numPr>
                <w:ilvl w:val="0"/>
                <w:numId w:val="9"/>
              </w:numPr>
              <w:adjustRightInd w:val="0"/>
              <w:spacing w:line="280" w:lineRule="exact"/>
              <w:jc w:val="center"/>
              <w:rPr>
                <w:rFonts w:ascii="宋体" w:hAnsi="宋体" w:cs="宋体"/>
                <w:szCs w:val="21"/>
              </w:rPr>
            </w:pPr>
          </w:p>
        </w:tc>
        <w:tc>
          <w:tcPr>
            <w:tcW w:w="3323" w:type="dxa"/>
            <w:vAlign w:val="center"/>
          </w:tcPr>
          <w:p w14:paraId="4B1B36AA">
            <w:pPr>
              <w:adjustRightInd w:val="0"/>
              <w:spacing w:line="280" w:lineRule="exact"/>
              <w:ind w:firstLine="420" w:firstLineChars="200"/>
              <w:rPr>
                <w:rFonts w:ascii="宋体" w:hAnsi="宋体" w:cs="宋体"/>
                <w:szCs w:val="21"/>
              </w:rPr>
            </w:pPr>
            <w:r>
              <w:rPr>
                <w:rFonts w:hint="eastAsia" w:ascii="宋体" w:hAnsi="宋体" w:cs="宋体"/>
                <w:szCs w:val="21"/>
              </w:rPr>
              <w:t>矿山、金属冶炼、建筑施工、道路运输单位和危险物品的生产、经营、储存、废弃处置单位，应当设置专门的安全生产管理机构或者配备相应的专职安全生产管理人员。</w:t>
            </w:r>
          </w:p>
        </w:tc>
        <w:tc>
          <w:tcPr>
            <w:tcW w:w="1777" w:type="dxa"/>
            <w:vAlign w:val="center"/>
          </w:tcPr>
          <w:p w14:paraId="0BE8363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《云南省安全生产条例》第十五条</w:t>
            </w:r>
          </w:p>
        </w:tc>
        <w:tc>
          <w:tcPr>
            <w:tcW w:w="2127" w:type="dxa"/>
            <w:vAlign w:val="center"/>
          </w:tcPr>
          <w:p w14:paraId="3492952E">
            <w:pPr>
              <w:snapToGrid w:val="0"/>
              <w:rPr>
                <w:rFonts w:ascii="宋体" w:hAnsi="宋体" w:cs="宋体"/>
                <w:szCs w:val="21"/>
              </w:rPr>
            </w:pPr>
            <w:r>
              <w:rPr>
                <w:rFonts w:hint="eastAsia" w:ascii="宋体" w:hAnsi="宋体" w:cs="宋体"/>
                <w:szCs w:val="21"/>
              </w:rPr>
              <w:t>设置了安全员。</w:t>
            </w:r>
          </w:p>
        </w:tc>
        <w:tc>
          <w:tcPr>
            <w:tcW w:w="659" w:type="dxa"/>
            <w:vAlign w:val="center"/>
          </w:tcPr>
          <w:p w14:paraId="7D8C5026">
            <w:pPr>
              <w:snapToGrid w:val="0"/>
              <w:jc w:val="center"/>
              <w:rPr>
                <w:rFonts w:ascii="宋体" w:hAnsi="宋体" w:cs="宋体"/>
                <w:szCs w:val="21"/>
              </w:rPr>
            </w:pPr>
            <w:r>
              <w:rPr>
                <w:rFonts w:hint="eastAsia" w:ascii="宋体" w:hAnsi="宋体" w:cs="宋体"/>
                <w:szCs w:val="21"/>
              </w:rPr>
              <w:t>符合</w:t>
            </w:r>
          </w:p>
        </w:tc>
      </w:tr>
      <w:tr w14:paraId="59BD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C871242">
            <w:pPr>
              <w:numPr>
                <w:ilvl w:val="0"/>
                <w:numId w:val="9"/>
              </w:numPr>
              <w:adjustRightInd w:val="0"/>
              <w:spacing w:line="280" w:lineRule="exact"/>
              <w:jc w:val="center"/>
              <w:rPr>
                <w:rFonts w:ascii="宋体" w:hAnsi="宋体" w:cs="宋体"/>
                <w:szCs w:val="21"/>
              </w:rPr>
            </w:pPr>
          </w:p>
        </w:tc>
        <w:tc>
          <w:tcPr>
            <w:tcW w:w="3323" w:type="dxa"/>
            <w:vAlign w:val="center"/>
          </w:tcPr>
          <w:p w14:paraId="34C2BCB8">
            <w:pPr>
              <w:adjustRightInd w:val="0"/>
              <w:spacing w:line="280" w:lineRule="exact"/>
              <w:ind w:firstLine="420" w:firstLineChars="200"/>
              <w:rPr>
                <w:rFonts w:ascii="宋体" w:hAnsi="宋体" w:cs="宋体"/>
                <w:szCs w:val="21"/>
              </w:rPr>
            </w:pPr>
            <w:r>
              <w:rPr>
                <w:rFonts w:hint="eastAsia" w:ascii="宋体" w:hAnsi="宋体" w:cs="宋体"/>
                <w:szCs w:val="21"/>
              </w:rPr>
              <w:t>生产经营单位的主要负责人除履行《中华人民共和国安全生产法》规定的职责外，还应当履行下列职责：</w:t>
            </w:r>
          </w:p>
          <w:p w14:paraId="4FA8DB09">
            <w:pPr>
              <w:adjustRightInd w:val="0"/>
              <w:spacing w:line="280" w:lineRule="exact"/>
              <w:rPr>
                <w:rFonts w:ascii="宋体" w:hAnsi="宋体" w:cs="宋体"/>
                <w:szCs w:val="21"/>
              </w:rPr>
            </w:pPr>
            <w:r>
              <w:rPr>
                <w:rFonts w:hint="eastAsia" w:ascii="宋体" w:hAnsi="宋体" w:cs="宋体"/>
                <w:szCs w:val="21"/>
              </w:rPr>
              <w:t>（一）签订安全生产责任书，并组织落实；</w:t>
            </w:r>
          </w:p>
          <w:p w14:paraId="47CF34AB">
            <w:pPr>
              <w:adjustRightInd w:val="0"/>
              <w:spacing w:line="280" w:lineRule="exact"/>
              <w:rPr>
                <w:rFonts w:ascii="宋体" w:hAnsi="宋体" w:cs="宋体"/>
                <w:szCs w:val="21"/>
              </w:rPr>
            </w:pPr>
            <w:r>
              <w:rPr>
                <w:rFonts w:hint="eastAsia" w:ascii="宋体" w:hAnsi="宋体" w:cs="宋体"/>
                <w:szCs w:val="21"/>
              </w:rPr>
              <w:t>（二）组织制定和实施安全生产工作计划；</w:t>
            </w:r>
          </w:p>
          <w:p w14:paraId="18277304">
            <w:pPr>
              <w:adjustRightInd w:val="0"/>
              <w:spacing w:line="280" w:lineRule="exact"/>
              <w:rPr>
                <w:rFonts w:ascii="宋体" w:hAnsi="宋体" w:cs="宋体"/>
                <w:szCs w:val="21"/>
              </w:rPr>
            </w:pPr>
            <w:r>
              <w:rPr>
                <w:rFonts w:hint="eastAsia" w:ascii="宋体" w:hAnsi="宋体" w:cs="宋体"/>
                <w:szCs w:val="21"/>
              </w:rPr>
              <w:t>（三）定期召开安全生产工作会议，研究解决相关重大问题；</w:t>
            </w:r>
          </w:p>
          <w:p w14:paraId="4EFE0646">
            <w:pPr>
              <w:adjustRightInd w:val="0"/>
              <w:spacing w:line="280" w:lineRule="exact"/>
              <w:rPr>
                <w:rFonts w:ascii="宋体" w:hAnsi="宋体" w:cs="宋体"/>
                <w:szCs w:val="21"/>
              </w:rPr>
            </w:pPr>
            <w:r>
              <w:rPr>
                <w:rFonts w:hint="eastAsia" w:ascii="宋体" w:hAnsi="宋体" w:cs="宋体"/>
                <w:szCs w:val="21"/>
              </w:rPr>
              <w:t>（四）组织开展事故应急救援演练。</w:t>
            </w:r>
          </w:p>
        </w:tc>
        <w:tc>
          <w:tcPr>
            <w:tcW w:w="1777" w:type="dxa"/>
            <w:vAlign w:val="center"/>
          </w:tcPr>
          <w:p w14:paraId="3185B732">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《云南省安全生产条例》第十六条</w:t>
            </w:r>
          </w:p>
        </w:tc>
        <w:tc>
          <w:tcPr>
            <w:tcW w:w="2127" w:type="dxa"/>
            <w:vAlign w:val="center"/>
          </w:tcPr>
          <w:p w14:paraId="4EA9FF06">
            <w:pPr>
              <w:snapToGrid w:val="0"/>
              <w:rPr>
                <w:rFonts w:ascii="宋体" w:hAnsi="宋体" w:cs="宋体"/>
                <w:szCs w:val="21"/>
              </w:rPr>
            </w:pPr>
            <w:r>
              <w:rPr>
                <w:rFonts w:hint="eastAsia" w:ascii="宋体" w:hAnsi="宋体" w:cs="宋体"/>
                <w:szCs w:val="21"/>
              </w:rPr>
              <w:t>已履行了相关职责。</w:t>
            </w:r>
          </w:p>
        </w:tc>
        <w:tc>
          <w:tcPr>
            <w:tcW w:w="659" w:type="dxa"/>
            <w:vAlign w:val="center"/>
          </w:tcPr>
          <w:p w14:paraId="5A653568">
            <w:pPr>
              <w:snapToGrid w:val="0"/>
              <w:jc w:val="center"/>
              <w:rPr>
                <w:rFonts w:ascii="宋体" w:hAnsi="宋体" w:cs="宋体"/>
                <w:szCs w:val="21"/>
              </w:rPr>
            </w:pPr>
            <w:r>
              <w:rPr>
                <w:rFonts w:hint="eastAsia" w:ascii="宋体" w:hAnsi="宋体" w:cs="宋体"/>
                <w:szCs w:val="21"/>
              </w:rPr>
              <w:t>符合</w:t>
            </w:r>
          </w:p>
        </w:tc>
      </w:tr>
      <w:tr w14:paraId="3BF2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E802E8D">
            <w:pPr>
              <w:numPr>
                <w:ilvl w:val="0"/>
                <w:numId w:val="9"/>
              </w:numPr>
              <w:adjustRightInd w:val="0"/>
              <w:spacing w:line="280" w:lineRule="exact"/>
              <w:jc w:val="center"/>
              <w:rPr>
                <w:rFonts w:ascii="宋体" w:hAnsi="宋体" w:cs="宋体"/>
                <w:szCs w:val="21"/>
              </w:rPr>
            </w:pPr>
          </w:p>
        </w:tc>
        <w:tc>
          <w:tcPr>
            <w:tcW w:w="3323" w:type="dxa"/>
            <w:vAlign w:val="center"/>
          </w:tcPr>
          <w:p w14:paraId="435AE40D">
            <w:pPr>
              <w:adjustRightInd w:val="0"/>
              <w:spacing w:line="280" w:lineRule="exact"/>
              <w:ind w:firstLine="420" w:firstLineChars="200"/>
              <w:rPr>
                <w:rFonts w:ascii="宋体" w:hAnsi="宋体" w:cs="宋体"/>
                <w:szCs w:val="21"/>
              </w:rPr>
            </w:pPr>
            <w:r>
              <w:rPr>
                <w:rFonts w:hint="eastAsia" w:ascii="宋体" w:hAnsi="宋体" w:cs="宋体"/>
                <w:szCs w:val="21"/>
              </w:rPr>
              <w:t>生产经营单位的安全生产管理机构以及安全生产管理人员除履行《中华人民共和国安全生产法》规定的职责外，还应当履行下列职责：</w:t>
            </w:r>
          </w:p>
          <w:p w14:paraId="1106B288">
            <w:pPr>
              <w:adjustRightInd w:val="0"/>
              <w:spacing w:line="280" w:lineRule="exact"/>
              <w:rPr>
                <w:rFonts w:ascii="宋体" w:hAnsi="宋体" w:cs="宋体"/>
                <w:szCs w:val="21"/>
              </w:rPr>
            </w:pPr>
            <w:r>
              <w:rPr>
                <w:rFonts w:hint="eastAsia" w:ascii="宋体" w:hAnsi="宋体" w:cs="宋体"/>
                <w:szCs w:val="21"/>
              </w:rPr>
              <w:t>（一）督促落实安全生产规章制度和操作规程；</w:t>
            </w:r>
          </w:p>
          <w:p w14:paraId="2775BD7A">
            <w:pPr>
              <w:adjustRightInd w:val="0"/>
              <w:spacing w:line="280" w:lineRule="exact"/>
              <w:rPr>
                <w:rFonts w:ascii="宋体" w:hAnsi="宋体" w:cs="宋体"/>
                <w:szCs w:val="21"/>
              </w:rPr>
            </w:pPr>
            <w:r>
              <w:rPr>
                <w:rFonts w:hint="eastAsia" w:ascii="宋体" w:hAnsi="宋体" w:cs="宋体"/>
                <w:szCs w:val="21"/>
              </w:rPr>
              <w:t>（二）组织开展危险源辨识、安全风险分析和安全评估；</w:t>
            </w:r>
          </w:p>
          <w:p w14:paraId="05D70430">
            <w:pPr>
              <w:adjustRightInd w:val="0"/>
              <w:spacing w:line="280" w:lineRule="exact"/>
              <w:rPr>
                <w:rFonts w:ascii="宋体" w:hAnsi="宋体" w:cs="宋体"/>
                <w:szCs w:val="21"/>
              </w:rPr>
            </w:pPr>
            <w:r>
              <w:rPr>
                <w:rFonts w:hint="eastAsia" w:ascii="宋体" w:hAnsi="宋体" w:cs="宋体"/>
                <w:szCs w:val="21"/>
              </w:rPr>
              <w:t>（三）督促设施、设备管理者和使用者定期进行安全检测、检验、检查；</w:t>
            </w:r>
          </w:p>
          <w:p w14:paraId="3C3E8BC6">
            <w:pPr>
              <w:adjustRightInd w:val="0"/>
              <w:spacing w:line="280" w:lineRule="exact"/>
              <w:rPr>
                <w:rFonts w:ascii="宋体" w:hAnsi="宋体" w:cs="宋体"/>
                <w:szCs w:val="21"/>
              </w:rPr>
            </w:pPr>
            <w:r>
              <w:rPr>
                <w:rFonts w:hint="eastAsia" w:ascii="宋体" w:hAnsi="宋体" w:cs="宋体"/>
                <w:szCs w:val="21"/>
              </w:rPr>
              <w:t>（四）督促从业人员依法持证上岗、正确佩戴和使用劳动防护用品；</w:t>
            </w:r>
          </w:p>
          <w:p w14:paraId="72B7BCC8">
            <w:pPr>
              <w:adjustRightInd w:val="0"/>
              <w:spacing w:line="280" w:lineRule="exact"/>
              <w:rPr>
                <w:rFonts w:ascii="宋体" w:hAnsi="宋体" w:cs="宋体"/>
                <w:szCs w:val="21"/>
              </w:rPr>
            </w:pPr>
            <w:r>
              <w:rPr>
                <w:rFonts w:hint="eastAsia" w:ascii="宋体" w:hAnsi="宋体" w:cs="宋体"/>
                <w:szCs w:val="21"/>
              </w:rPr>
              <w:t>（五）及时报告事故隐患排查治理信息和安全生产情况。</w:t>
            </w:r>
          </w:p>
        </w:tc>
        <w:tc>
          <w:tcPr>
            <w:tcW w:w="1777" w:type="dxa"/>
            <w:vAlign w:val="center"/>
          </w:tcPr>
          <w:p w14:paraId="4C61D41B">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《云南省安全生产条例》第十七条</w:t>
            </w:r>
          </w:p>
        </w:tc>
        <w:tc>
          <w:tcPr>
            <w:tcW w:w="2127" w:type="dxa"/>
            <w:vAlign w:val="center"/>
          </w:tcPr>
          <w:p w14:paraId="0143AB6E">
            <w:pPr>
              <w:snapToGrid w:val="0"/>
              <w:rPr>
                <w:rFonts w:ascii="宋体" w:hAnsi="宋体" w:cs="宋体"/>
                <w:szCs w:val="21"/>
              </w:rPr>
            </w:pPr>
            <w:r>
              <w:rPr>
                <w:rFonts w:hint="eastAsia" w:ascii="宋体" w:hAnsi="宋体" w:cs="宋体"/>
                <w:szCs w:val="21"/>
              </w:rPr>
              <w:t>安全员已履行相关职责。</w:t>
            </w:r>
          </w:p>
        </w:tc>
        <w:tc>
          <w:tcPr>
            <w:tcW w:w="659" w:type="dxa"/>
            <w:vAlign w:val="center"/>
          </w:tcPr>
          <w:p w14:paraId="009FD04A">
            <w:pPr>
              <w:snapToGrid w:val="0"/>
              <w:jc w:val="center"/>
              <w:rPr>
                <w:rFonts w:ascii="宋体" w:hAnsi="宋体" w:cs="宋体"/>
                <w:szCs w:val="21"/>
              </w:rPr>
            </w:pPr>
            <w:r>
              <w:rPr>
                <w:rFonts w:hint="eastAsia" w:ascii="宋体" w:hAnsi="宋体" w:cs="宋体"/>
                <w:szCs w:val="21"/>
              </w:rPr>
              <w:t>符合</w:t>
            </w:r>
          </w:p>
        </w:tc>
      </w:tr>
      <w:tr w14:paraId="462D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962642F">
            <w:pPr>
              <w:numPr>
                <w:ilvl w:val="0"/>
                <w:numId w:val="9"/>
              </w:numPr>
              <w:adjustRightInd w:val="0"/>
              <w:spacing w:line="280" w:lineRule="exact"/>
              <w:jc w:val="center"/>
              <w:rPr>
                <w:rFonts w:ascii="宋体" w:hAnsi="宋体" w:cs="宋体"/>
                <w:szCs w:val="21"/>
              </w:rPr>
            </w:pPr>
          </w:p>
        </w:tc>
        <w:tc>
          <w:tcPr>
            <w:tcW w:w="3323" w:type="dxa"/>
            <w:vAlign w:val="center"/>
          </w:tcPr>
          <w:p w14:paraId="40ABFE4D">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生产经营单位应当建立健全下列制度：</w:t>
            </w:r>
          </w:p>
          <w:p w14:paraId="7ACC79DE">
            <w:pPr>
              <w:adjustRightInd w:val="0"/>
              <w:spacing w:line="280" w:lineRule="exact"/>
              <w:rPr>
                <w:rFonts w:ascii="宋体" w:hAnsi="宋体" w:cs="宋体"/>
                <w:szCs w:val="21"/>
              </w:rPr>
            </w:pPr>
            <w:r>
              <w:rPr>
                <w:rFonts w:hint="eastAsia" w:ascii="宋体" w:hAnsi="宋体" w:cs="宋体"/>
                <w:szCs w:val="21"/>
              </w:rPr>
              <w:t>（一）安全生产责任制度；</w:t>
            </w:r>
          </w:p>
          <w:p w14:paraId="0C718486">
            <w:pPr>
              <w:adjustRightInd w:val="0"/>
              <w:spacing w:line="280" w:lineRule="exact"/>
              <w:rPr>
                <w:rFonts w:ascii="宋体" w:hAnsi="宋体" w:cs="宋体"/>
                <w:szCs w:val="21"/>
              </w:rPr>
            </w:pPr>
            <w:r>
              <w:rPr>
                <w:rFonts w:hint="eastAsia" w:ascii="宋体" w:hAnsi="宋体" w:cs="宋体"/>
                <w:szCs w:val="21"/>
              </w:rPr>
              <w:t>（二）安全生产例会制度；</w:t>
            </w:r>
          </w:p>
          <w:p w14:paraId="32CE8F73">
            <w:pPr>
              <w:adjustRightInd w:val="0"/>
              <w:spacing w:line="280" w:lineRule="exact"/>
              <w:rPr>
                <w:rFonts w:ascii="宋体" w:hAnsi="宋体" w:cs="宋体"/>
                <w:szCs w:val="21"/>
              </w:rPr>
            </w:pPr>
            <w:r>
              <w:rPr>
                <w:rFonts w:hint="eastAsia" w:ascii="宋体" w:hAnsi="宋体" w:cs="宋体"/>
                <w:szCs w:val="21"/>
              </w:rPr>
              <w:t>（三）安全生产奖惩制度；</w:t>
            </w:r>
          </w:p>
          <w:p w14:paraId="33793979">
            <w:pPr>
              <w:adjustRightInd w:val="0"/>
              <w:spacing w:line="280" w:lineRule="exact"/>
              <w:rPr>
                <w:rFonts w:ascii="宋体" w:hAnsi="宋体" w:cs="宋体"/>
                <w:szCs w:val="21"/>
              </w:rPr>
            </w:pPr>
            <w:r>
              <w:rPr>
                <w:rFonts w:hint="eastAsia" w:ascii="宋体" w:hAnsi="宋体" w:cs="宋体"/>
                <w:szCs w:val="21"/>
              </w:rPr>
              <w:t>（四）安全生产教育培训制度；</w:t>
            </w:r>
          </w:p>
          <w:p w14:paraId="297A2011">
            <w:pPr>
              <w:adjustRightInd w:val="0"/>
              <w:spacing w:line="280" w:lineRule="exact"/>
              <w:rPr>
                <w:rFonts w:ascii="宋体" w:hAnsi="宋体" w:cs="宋体"/>
                <w:szCs w:val="21"/>
              </w:rPr>
            </w:pPr>
            <w:r>
              <w:rPr>
                <w:rFonts w:hint="eastAsia" w:ascii="宋体" w:hAnsi="宋体" w:cs="宋体"/>
                <w:szCs w:val="21"/>
              </w:rPr>
              <w:t>（五）安全生产检查制度；</w:t>
            </w:r>
          </w:p>
          <w:p w14:paraId="6A2C9886">
            <w:pPr>
              <w:adjustRightInd w:val="0"/>
              <w:spacing w:line="280" w:lineRule="exact"/>
              <w:rPr>
                <w:rFonts w:ascii="宋体" w:hAnsi="宋体" w:cs="宋体"/>
                <w:szCs w:val="21"/>
              </w:rPr>
            </w:pPr>
            <w:r>
              <w:rPr>
                <w:rFonts w:hint="eastAsia" w:ascii="宋体" w:hAnsi="宋体" w:cs="宋体"/>
                <w:szCs w:val="21"/>
              </w:rPr>
              <w:t>（六）生产经营场所、设备、设施安全管理制度；</w:t>
            </w:r>
          </w:p>
          <w:p w14:paraId="22BEFAC5">
            <w:pPr>
              <w:adjustRightInd w:val="0"/>
              <w:spacing w:line="280" w:lineRule="exact"/>
              <w:rPr>
                <w:rFonts w:ascii="宋体" w:hAnsi="宋体" w:cs="宋体"/>
                <w:szCs w:val="21"/>
              </w:rPr>
            </w:pPr>
            <w:r>
              <w:rPr>
                <w:rFonts w:hint="eastAsia" w:ascii="宋体" w:hAnsi="宋体" w:cs="宋体"/>
                <w:szCs w:val="21"/>
              </w:rPr>
              <w:t>（七）安全生产风险分级管理控制制度；</w:t>
            </w:r>
          </w:p>
          <w:p w14:paraId="6E1D562E">
            <w:pPr>
              <w:adjustRightInd w:val="0"/>
              <w:spacing w:line="280" w:lineRule="exact"/>
              <w:rPr>
                <w:rFonts w:ascii="宋体" w:hAnsi="宋体" w:cs="宋体"/>
                <w:szCs w:val="21"/>
              </w:rPr>
            </w:pPr>
            <w:r>
              <w:rPr>
                <w:rFonts w:hint="eastAsia" w:ascii="宋体" w:hAnsi="宋体" w:cs="宋体"/>
                <w:szCs w:val="21"/>
              </w:rPr>
              <w:t>（八）危险源管理制度；</w:t>
            </w:r>
          </w:p>
          <w:p w14:paraId="71C66CC1">
            <w:pPr>
              <w:adjustRightInd w:val="0"/>
              <w:spacing w:line="280" w:lineRule="exact"/>
              <w:rPr>
                <w:rFonts w:ascii="宋体" w:hAnsi="宋体" w:cs="宋体"/>
                <w:szCs w:val="21"/>
              </w:rPr>
            </w:pPr>
            <w:r>
              <w:rPr>
                <w:rFonts w:hint="eastAsia" w:ascii="宋体" w:hAnsi="宋体" w:cs="宋体"/>
                <w:szCs w:val="21"/>
              </w:rPr>
              <w:t>（九）安全生产应急管理和事故报告处理制度； </w:t>
            </w:r>
          </w:p>
          <w:p w14:paraId="396F2EA8">
            <w:pPr>
              <w:adjustRightInd w:val="0"/>
              <w:spacing w:line="280" w:lineRule="exact"/>
              <w:rPr>
                <w:rFonts w:ascii="宋体" w:hAnsi="宋体" w:cs="宋体"/>
                <w:szCs w:val="21"/>
              </w:rPr>
            </w:pPr>
            <w:r>
              <w:rPr>
                <w:rFonts w:hint="eastAsia" w:ascii="宋体" w:hAnsi="宋体" w:cs="宋体"/>
                <w:szCs w:val="21"/>
              </w:rPr>
              <w:t>（十）危险作业、特种作业人员、劳动防护用品管理制度；</w:t>
            </w:r>
          </w:p>
          <w:p w14:paraId="4668B5D0">
            <w:pPr>
              <w:adjustRightInd w:val="0"/>
              <w:spacing w:line="280" w:lineRule="exact"/>
              <w:rPr>
                <w:rFonts w:ascii="宋体" w:hAnsi="宋体" w:cs="宋体"/>
                <w:szCs w:val="21"/>
              </w:rPr>
            </w:pPr>
            <w:r>
              <w:rPr>
                <w:rFonts w:hint="eastAsia" w:ascii="宋体" w:hAnsi="宋体" w:cs="宋体"/>
                <w:szCs w:val="21"/>
              </w:rPr>
              <w:t>（十一）法律法规规定的其他安全生产制度。</w:t>
            </w:r>
          </w:p>
        </w:tc>
        <w:tc>
          <w:tcPr>
            <w:tcW w:w="1777" w:type="dxa"/>
            <w:vAlign w:val="center"/>
          </w:tcPr>
          <w:p w14:paraId="7F49E547">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《云南省安全生产条例》第十八条</w:t>
            </w:r>
          </w:p>
        </w:tc>
        <w:tc>
          <w:tcPr>
            <w:tcW w:w="2127" w:type="dxa"/>
            <w:vAlign w:val="center"/>
          </w:tcPr>
          <w:p w14:paraId="67A7352F">
            <w:pPr>
              <w:snapToGrid w:val="0"/>
              <w:rPr>
                <w:rFonts w:ascii="宋体" w:hAnsi="宋体" w:cs="宋体"/>
                <w:szCs w:val="21"/>
              </w:rPr>
            </w:pPr>
            <w:r>
              <w:rPr>
                <w:rFonts w:hint="eastAsia" w:ascii="宋体" w:hAnsi="宋体" w:cs="宋体"/>
                <w:szCs w:val="21"/>
              </w:rPr>
              <w:t>已建立了相应的安全管理制度，并建立相应的记录台账。</w:t>
            </w:r>
          </w:p>
        </w:tc>
        <w:tc>
          <w:tcPr>
            <w:tcW w:w="659" w:type="dxa"/>
            <w:vAlign w:val="center"/>
          </w:tcPr>
          <w:p w14:paraId="22758BAD">
            <w:pPr>
              <w:snapToGrid w:val="0"/>
              <w:jc w:val="center"/>
              <w:rPr>
                <w:rFonts w:ascii="宋体" w:hAnsi="宋体" w:cs="宋体"/>
                <w:szCs w:val="21"/>
              </w:rPr>
            </w:pPr>
            <w:r>
              <w:rPr>
                <w:rFonts w:hint="eastAsia" w:ascii="宋体" w:hAnsi="宋体" w:cs="宋体"/>
                <w:szCs w:val="21"/>
              </w:rPr>
              <w:t>符合</w:t>
            </w:r>
          </w:p>
        </w:tc>
      </w:tr>
      <w:tr w14:paraId="0FB7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7A87026">
            <w:pPr>
              <w:numPr>
                <w:ilvl w:val="0"/>
                <w:numId w:val="9"/>
              </w:numPr>
              <w:adjustRightInd w:val="0"/>
              <w:spacing w:line="280" w:lineRule="exact"/>
              <w:jc w:val="center"/>
              <w:rPr>
                <w:rFonts w:ascii="宋体" w:hAnsi="宋体" w:cs="宋体"/>
                <w:szCs w:val="21"/>
              </w:rPr>
            </w:pPr>
          </w:p>
        </w:tc>
        <w:tc>
          <w:tcPr>
            <w:tcW w:w="3323" w:type="dxa"/>
            <w:vAlign w:val="center"/>
          </w:tcPr>
          <w:p w14:paraId="5AA3CB7F">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生产经营单位应当制定符合有关法律法规规定的安全生产自检自查标准，建立事故隐患排查治理长效机制。</w:t>
            </w:r>
          </w:p>
          <w:p w14:paraId="4D7CB9BA">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生产经营单位应当实行事故隐患清单管理，及时消除事故隐患；不能及时消除的，应当采取安全防范措施，制定治理方案，落实整改措施、责任、资金、时限和应急预案。</w:t>
            </w:r>
          </w:p>
        </w:tc>
        <w:tc>
          <w:tcPr>
            <w:tcW w:w="1777" w:type="dxa"/>
            <w:vAlign w:val="center"/>
          </w:tcPr>
          <w:p w14:paraId="23F10701">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《云南省安全生产条例》第十九条</w:t>
            </w:r>
          </w:p>
        </w:tc>
        <w:tc>
          <w:tcPr>
            <w:tcW w:w="2127" w:type="dxa"/>
            <w:vAlign w:val="center"/>
          </w:tcPr>
          <w:p w14:paraId="1AA98508">
            <w:pPr>
              <w:snapToGrid w:val="0"/>
              <w:rPr>
                <w:rFonts w:ascii="宋体" w:hAnsi="宋体" w:cs="宋体"/>
                <w:szCs w:val="21"/>
              </w:rPr>
            </w:pPr>
            <w:r>
              <w:rPr>
                <w:rFonts w:hint="eastAsia" w:ascii="宋体" w:hAnsi="宋体" w:cs="宋体"/>
                <w:szCs w:val="21"/>
              </w:rPr>
              <w:t>已建立了自查标准和隐患排查治理长效机制。</w:t>
            </w:r>
          </w:p>
        </w:tc>
        <w:tc>
          <w:tcPr>
            <w:tcW w:w="659" w:type="dxa"/>
            <w:vAlign w:val="center"/>
          </w:tcPr>
          <w:p w14:paraId="430F7A4E">
            <w:pPr>
              <w:snapToGrid w:val="0"/>
              <w:jc w:val="center"/>
              <w:rPr>
                <w:rFonts w:ascii="宋体" w:hAnsi="宋体" w:cs="宋体"/>
                <w:szCs w:val="21"/>
              </w:rPr>
            </w:pPr>
            <w:r>
              <w:rPr>
                <w:rFonts w:hint="eastAsia" w:ascii="宋体" w:hAnsi="宋体" w:cs="宋体"/>
                <w:szCs w:val="21"/>
              </w:rPr>
              <w:t>符合</w:t>
            </w:r>
          </w:p>
        </w:tc>
      </w:tr>
      <w:tr w14:paraId="35A7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A06E42A">
            <w:pPr>
              <w:numPr>
                <w:ilvl w:val="0"/>
                <w:numId w:val="9"/>
              </w:numPr>
              <w:adjustRightInd w:val="0"/>
              <w:spacing w:line="280" w:lineRule="exact"/>
              <w:jc w:val="center"/>
              <w:rPr>
                <w:rFonts w:ascii="宋体" w:hAnsi="宋体" w:cs="宋体"/>
                <w:szCs w:val="21"/>
              </w:rPr>
            </w:pPr>
          </w:p>
        </w:tc>
        <w:tc>
          <w:tcPr>
            <w:tcW w:w="3323" w:type="dxa"/>
            <w:vAlign w:val="center"/>
          </w:tcPr>
          <w:p w14:paraId="11CC2C41">
            <w:pPr>
              <w:adjustRightInd w:val="0"/>
              <w:spacing w:line="280" w:lineRule="exact"/>
              <w:ind w:firstLine="420" w:firstLineChars="200"/>
              <w:rPr>
                <w:rFonts w:ascii="宋体" w:hAnsi="宋体" w:cs="宋体"/>
                <w:szCs w:val="21"/>
              </w:rPr>
            </w:pPr>
            <w:r>
              <w:rPr>
                <w:rFonts w:hint="eastAsia" w:ascii="宋体" w:hAnsi="宋体" w:cs="宋体"/>
                <w:szCs w:val="21"/>
              </w:rPr>
              <w:t>生产经营单位进行高处作业、有限空间作业、危险物品充装和接卸作业、危险场所动火作业等危险作业，应当严格执行操作规程，落实安全措施，加强现场安全管理。</w:t>
            </w:r>
          </w:p>
        </w:tc>
        <w:tc>
          <w:tcPr>
            <w:tcW w:w="1777" w:type="dxa"/>
            <w:vAlign w:val="center"/>
          </w:tcPr>
          <w:p w14:paraId="356AD1E2">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《云南省安全生产条例》第二十一条</w:t>
            </w:r>
          </w:p>
        </w:tc>
        <w:tc>
          <w:tcPr>
            <w:tcW w:w="2127" w:type="dxa"/>
            <w:vAlign w:val="center"/>
          </w:tcPr>
          <w:p w14:paraId="177615CF">
            <w:pPr>
              <w:snapToGrid w:val="0"/>
              <w:rPr>
                <w:rFonts w:ascii="宋体" w:hAnsi="宋体" w:cs="宋体"/>
                <w:szCs w:val="21"/>
              </w:rPr>
            </w:pPr>
            <w:r>
              <w:rPr>
                <w:rFonts w:hint="eastAsia" w:ascii="宋体" w:hAnsi="宋体" w:cs="宋体"/>
                <w:szCs w:val="21"/>
              </w:rPr>
              <w:t>已建立了相应特殊作业管理制度。</w:t>
            </w:r>
          </w:p>
        </w:tc>
        <w:tc>
          <w:tcPr>
            <w:tcW w:w="659" w:type="dxa"/>
            <w:vAlign w:val="center"/>
          </w:tcPr>
          <w:p w14:paraId="5C2A9427">
            <w:pPr>
              <w:snapToGrid w:val="0"/>
              <w:jc w:val="center"/>
              <w:rPr>
                <w:rFonts w:ascii="宋体" w:hAnsi="宋体" w:cs="宋体"/>
                <w:szCs w:val="21"/>
              </w:rPr>
            </w:pPr>
            <w:r>
              <w:rPr>
                <w:rFonts w:hint="eastAsia" w:ascii="宋体" w:hAnsi="宋体" w:cs="宋体"/>
                <w:szCs w:val="21"/>
              </w:rPr>
              <w:t>符合</w:t>
            </w:r>
          </w:p>
        </w:tc>
      </w:tr>
      <w:tr w14:paraId="6FC6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A63E657">
            <w:pPr>
              <w:numPr>
                <w:ilvl w:val="0"/>
                <w:numId w:val="9"/>
              </w:numPr>
              <w:adjustRightInd w:val="0"/>
              <w:spacing w:line="280" w:lineRule="exact"/>
              <w:jc w:val="center"/>
              <w:rPr>
                <w:rFonts w:ascii="宋体" w:hAnsi="宋体" w:cs="宋体"/>
                <w:szCs w:val="21"/>
              </w:rPr>
            </w:pPr>
          </w:p>
        </w:tc>
        <w:tc>
          <w:tcPr>
            <w:tcW w:w="3323" w:type="dxa"/>
            <w:vAlign w:val="center"/>
          </w:tcPr>
          <w:p w14:paraId="310B486B">
            <w:pPr>
              <w:adjustRightInd w:val="0"/>
              <w:spacing w:line="280" w:lineRule="exact"/>
              <w:ind w:firstLine="420" w:firstLineChars="200"/>
              <w:rPr>
                <w:rFonts w:ascii="宋体" w:hAnsi="宋体" w:cs="宋体"/>
                <w:szCs w:val="21"/>
              </w:rPr>
            </w:pPr>
            <w:r>
              <w:rPr>
                <w:rFonts w:hint="eastAsia" w:ascii="宋体" w:hAnsi="宋体" w:cs="宋体"/>
                <w:szCs w:val="21"/>
              </w:rPr>
              <w:t>涉及矿产资源开发、液氨制冷、粉尘涉爆和危险物品生产、储存、管道输送等建设项目应当符合土地利用规划、城乡规划和安全生产强制性标准及安全距离要求。</w:t>
            </w:r>
          </w:p>
        </w:tc>
        <w:tc>
          <w:tcPr>
            <w:tcW w:w="1777" w:type="dxa"/>
            <w:vAlign w:val="center"/>
          </w:tcPr>
          <w:p w14:paraId="24D9D2ED">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《云南省安全生产条例》第二十三条</w:t>
            </w:r>
          </w:p>
        </w:tc>
        <w:tc>
          <w:tcPr>
            <w:tcW w:w="2127" w:type="dxa"/>
            <w:vAlign w:val="center"/>
          </w:tcPr>
          <w:p w14:paraId="40850362">
            <w:pPr>
              <w:snapToGrid w:val="0"/>
              <w:rPr>
                <w:rFonts w:ascii="宋体" w:hAnsi="宋体" w:cs="宋体"/>
                <w:szCs w:val="21"/>
              </w:rPr>
            </w:pPr>
            <w:r>
              <w:rPr>
                <w:rFonts w:hint="eastAsia" w:ascii="宋体" w:hAnsi="宋体" w:cs="宋体"/>
                <w:szCs w:val="21"/>
              </w:rPr>
              <w:t>有相关证照，安全距离符合GB50156要求。</w:t>
            </w:r>
          </w:p>
        </w:tc>
        <w:tc>
          <w:tcPr>
            <w:tcW w:w="659" w:type="dxa"/>
            <w:vAlign w:val="center"/>
          </w:tcPr>
          <w:p w14:paraId="699D3385">
            <w:pPr>
              <w:snapToGrid w:val="0"/>
              <w:jc w:val="center"/>
              <w:rPr>
                <w:rFonts w:ascii="宋体" w:hAnsi="宋体" w:cs="宋体"/>
                <w:szCs w:val="21"/>
              </w:rPr>
            </w:pPr>
            <w:r>
              <w:rPr>
                <w:rFonts w:hint="eastAsia" w:ascii="宋体" w:hAnsi="宋体" w:cs="宋体"/>
                <w:szCs w:val="21"/>
              </w:rPr>
              <w:t>符合</w:t>
            </w:r>
          </w:p>
        </w:tc>
      </w:tr>
      <w:tr w14:paraId="11A8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DCDC58D">
            <w:pPr>
              <w:numPr>
                <w:ilvl w:val="0"/>
                <w:numId w:val="9"/>
              </w:numPr>
              <w:adjustRightInd w:val="0"/>
              <w:spacing w:line="280" w:lineRule="exact"/>
              <w:jc w:val="center"/>
              <w:rPr>
                <w:rFonts w:ascii="宋体" w:hAnsi="宋体" w:cs="宋体"/>
                <w:szCs w:val="21"/>
              </w:rPr>
            </w:pPr>
          </w:p>
        </w:tc>
        <w:tc>
          <w:tcPr>
            <w:tcW w:w="3323" w:type="dxa"/>
            <w:vAlign w:val="center"/>
          </w:tcPr>
          <w:p w14:paraId="6265A43C">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生产经营单位应当依法参加工伤保险，为从业人员按时足额缴纳工伤保险费。</w:t>
            </w:r>
          </w:p>
          <w:p w14:paraId="3AE901EC">
            <w:pPr>
              <w:adjustRightInd w:val="0"/>
              <w:spacing w:line="280" w:lineRule="exact"/>
              <w:ind w:firstLine="420" w:firstLineChars="200"/>
              <w:rPr>
                <w:rFonts w:ascii="宋体" w:hAnsi="宋体" w:cs="宋体"/>
                <w:szCs w:val="21"/>
              </w:rPr>
            </w:pPr>
            <w:r>
              <w:rPr>
                <w:rFonts w:hint="eastAsia" w:ascii="宋体" w:hAnsi="宋体" w:cs="宋体"/>
                <w:szCs w:val="21"/>
              </w:rPr>
              <w:t>矿山、危险化学品、烟花爆竹、交通运输、建筑施工、民用爆炸物品、金属冶炼、渔业生产等行业和领域的生产经营单位应当根据国家规定实施安全生产责任保险制度。鼓励其他生产经营单位投保安全生产责任保险。</w:t>
            </w:r>
          </w:p>
        </w:tc>
        <w:tc>
          <w:tcPr>
            <w:tcW w:w="1777" w:type="dxa"/>
            <w:vAlign w:val="center"/>
          </w:tcPr>
          <w:p w14:paraId="44592E7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《云南省安全生产条例》第二十四条</w:t>
            </w:r>
          </w:p>
        </w:tc>
        <w:tc>
          <w:tcPr>
            <w:tcW w:w="2127" w:type="dxa"/>
            <w:vAlign w:val="center"/>
          </w:tcPr>
          <w:p w14:paraId="6492A8BE">
            <w:pPr>
              <w:snapToGrid w:val="0"/>
              <w:rPr>
                <w:rFonts w:ascii="宋体" w:hAnsi="宋体" w:cs="宋体"/>
                <w:szCs w:val="21"/>
              </w:rPr>
            </w:pPr>
            <w:r>
              <w:rPr>
                <w:rFonts w:hint="eastAsia" w:ascii="宋体" w:hAnsi="宋体" w:cs="宋体"/>
                <w:szCs w:val="21"/>
              </w:rPr>
              <w:t>已</w:t>
            </w:r>
            <w:r>
              <w:rPr>
                <w:rFonts w:hint="eastAsia" w:ascii="宋体" w:hAnsi="宋体" w:cs="宋体"/>
                <w:szCs w:val="21"/>
                <w:lang w:val="en-US" w:eastAsia="zh-CN"/>
              </w:rPr>
              <w:t>购买</w:t>
            </w:r>
            <w:r>
              <w:rPr>
                <w:rFonts w:hint="eastAsia" w:ascii="宋体" w:hAnsi="宋体" w:cs="宋体"/>
                <w:szCs w:val="21"/>
              </w:rPr>
              <w:t>工伤保险</w:t>
            </w:r>
            <w:r>
              <w:rPr>
                <w:rFonts w:hint="eastAsia" w:ascii="宋体" w:hAnsi="宋体" w:cs="宋体"/>
                <w:szCs w:val="21"/>
                <w:lang w:val="en-US" w:eastAsia="zh-CN"/>
              </w:rPr>
              <w:t>和安责险</w:t>
            </w:r>
            <w:r>
              <w:rPr>
                <w:rFonts w:hint="eastAsia" w:ascii="宋体" w:hAnsi="宋体" w:cs="宋体"/>
                <w:szCs w:val="21"/>
              </w:rPr>
              <w:t>。</w:t>
            </w:r>
          </w:p>
        </w:tc>
        <w:tc>
          <w:tcPr>
            <w:tcW w:w="659" w:type="dxa"/>
            <w:vAlign w:val="center"/>
          </w:tcPr>
          <w:p w14:paraId="74E65026">
            <w:pPr>
              <w:snapToGrid w:val="0"/>
              <w:jc w:val="center"/>
              <w:rPr>
                <w:rFonts w:ascii="宋体" w:hAnsi="宋体" w:cs="宋体"/>
                <w:szCs w:val="21"/>
              </w:rPr>
            </w:pPr>
            <w:r>
              <w:rPr>
                <w:rFonts w:hint="eastAsia" w:ascii="宋体" w:hAnsi="宋体" w:cs="宋体"/>
                <w:szCs w:val="21"/>
              </w:rPr>
              <w:t>符合</w:t>
            </w:r>
          </w:p>
        </w:tc>
      </w:tr>
      <w:tr w14:paraId="60F7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C9B4602">
            <w:pPr>
              <w:numPr>
                <w:ilvl w:val="0"/>
                <w:numId w:val="9"/>
              </w:numPr>
              <w:adjustRightInd w:val="0"/>
              <w:spacing w:line="280" w:lineRule="exact"/>
              <w:jc w:val="center"/>
              <w:rPr>
                <w:rFonts w:ascii="宋体" w:hAnsi="宋体" w:cs="宋体"/>
                <w:szCs w:val="21"/>
              </w:rPr>
            </w:pPr>
          </w:p>
        </w:tc>
        <w:tc>
          <w:tcPr>
            <w:tcW w:w="3323" w:type="dxa"/>
            <w:vAlign w:val="center"/>
          </w:tcPr>
          <w:p w14:paraId="0654F8AE">
            <w:pPr>
              <w:adjustRightInd w:val="0"/>
              <w:spacing w:line="280" w:lineRule="exact"/>
              <w:ind w:firstLine="420" w:firstLineChars="200"/>
              <w:rPr>
                <w:rFonts w:ascii="宋体" w:hAnsi="宋体" w:cs="宋体"/>
                <w:szCs w:val="21"/>
              </w:rPr>
            </w:pPr>
            <w:r>
              <w:rPr>
                <w:rFonts w:hint="eastAsia" w:ascii="宋体" w:hAnsi="宋体" w:cs="宋体"/>
                <w:szCs w:val="21"/>
              </w:rPr>
              <w:t>公共场所的安全通道、安全标志等安全设施，应当符合有关法律法规和标准的规定。有关单位应当进行经常性维护、检修、检测，确保安全防护装置齐全有效。</w:t>
            </w:r>
          </w:p>
        </w:tc>
        <w:tc>
          <w:tcPr>
            <w:tcW w:w="1777" w:type="dxa"/>
            <w:vAlign w:val="center"/>
          </w:tcPr>
          <w:p w14:paraId="7DDFDDE4">
            <w:pPr>
              <w:snapToGrid w:val="0"/>
              <w:jc w:val="center"/>
              <w:rPr>
                <w:rFonts w:ascii="宋体" w:hAnsi="宋体" w:cs="宋体"/>
                <w:b/>
                <w:bCs/>
                <w:spacing w:val="4"/>
                <w:kern w:val="10"/>
                <w:position w:val="2"/>
                <w:szCs w:val="21"/>
              </w:rPr>
            </w:pPr>
            <w:r>
              <w:rPr>
                <w:rFonts w:hint="eastAsia" w:ascii="宋体" w:hAnsi="宋体" w:cs="宋体"/>
                <w:spacing w:val="4"/>
                <w:kern w:val="10"/>
                <w:position w:val="2"/>
                <w:szCs w:val="21"/>
              </w:rPr>
              <w:t>《云南省安全生产条例》第二十八条</w:t>
            </w:r>
          </w:p>
        </w:tc>
        <w:tc>
          <w:tcPr>
            <w:tcW w:w="2127" w:type="dxa"/>
            <w:vAlign w:val="center"/>
          </w:tcPr>
          <w:p w14:paraId="31DCE351">
            <w:pPr>
              <w:snapToGrid w:val="0"/>
              <w:rPr>
                <w:rFonts w:ascii="宋体" w:hAnsi="宋体" w:cs="宋体"/>
                <w:szCs w:val="21"/>
              </w:rPr>
            </w:pPr>
            <w:r>
              <w:rPr>
                <w:rFonts w:hint="eastAsia" w:ascii="宋体" w:hAnsi="宋体" w:cs="宋体"/>
                <w:szCs w:val="21"/>
              </w:rPr>
              <w:t>有相应的安全标识。</w:t>
            </w:r>
          </w:p>
        </w:tc>
        <w:tc>
          <w:tcPr>
            <w:tcW w:w="659" w:type="dxa"/>
            <w:vAlign w:val="center"/>
          </w:tcPr>
          <w:p w14:paraId="494D503C">
            <w:pPr>
              <w:snapToGrid w:val="0"/>
              <w:jc w:val="center"/>
              <w:rPr>
                <w:rFonts w:ascii="宋体" w:hAnsi="宋体" w:cs="宋体"/>
                <w:szCs w:val="21"/>
              </w:rPr>
            </w:pPr>
            <w:r>
              <w:rPr>
                <w:rFonts w:hint="eastAsia" w:ascii="宋体" w:hAnsi="宋体" w:cs="宋体"/>
                <w:szCs w:val="21"/>
              </w:rPr>
              <w:t>符合</w:t>
            </w:r>
          </w:p>
        </w:tc>
      </w:tr>
      <w:tr w14:paraId="594A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78F63FA">
            <w:pPr>
              <w:numPr>
                <w:ilvl w:val="0"/>
                <w:numId w:val="9"/>
              </w:numPr>
              <w:adjustRightInd w:val="0"/>
              <w:spacing w:line="280" w:lineRule="exact"/>
              <w:jc w:val="center"/>
              <w:rPr>
                <w:rFonts w:ascii="宋体" w:hAnsi="宋体" w:cs="宋体"/>
                <w:szCs w:val="21"/>
              </w:rPr>
            </w:pPr>
          </w:p>
        </w:tc>
        <w:tc>
          <w:tcPr>
            <w:tcW w:w="3323" w:type="dxa"/>
            <w:vAlign w:val="center"/>
          </w:tcPr>
          <w:p w14:paraId="29D5619F">
            <w:pPr>
              <w:adjustRightInd w:val="0"/>
              <w:spacing w:line="280" w:lineRule="exact"/>
              <w:ind w:firstLine="420" w:firstLineChars="200"/>
              <w:rPr>
                <w:rFonts w:ascii="宋体" w:hAnsi="宋体" w:cs="宋体"/>
                <w:szCs w:val="21"/>
              </w:rPr>
            </w:pPr>
            <w:r>
              <w:rPr>
                <w:rFonts w:hint="eastAsia" w:ascii="宋体" w:hAnsi="宋体" w:cs="宋体"/>
                <w:szCs w:val="21"/>
              </w:rPr>
              <w:t>生产经营单位不得有下列行为：</w:t>
            </w:r>
          </w:p>
          <w:p w14:paraId="19CDAD87">
            <w:pPr>
              <w:adjustRightInd w:val="0"/>
              <w:spacing w:line="280" w:lineRule="exact"/>
              <w:rPr>
                <w:rFonts w:ascii="宋体" w:hAnsi="宋体" w:cs="宋体"/>
                <w:szCs w:val="21"/>
              </w:rPr>
            </w:pPr>
            <w:r>
              <w:rPr>
                <w:rFonts w:hint="eastAsia" w:ascii="宋体" w:hAnsi="宋体" w:cs="宋体"/>
                <w:szCs w:val="21"/>
              </w:rPr>
              <w:t>（一）提供不符合安全技术标准的劳动工具、劳动防护用品和自救器材，或者以货币等形式替代发放劳动防护用品；</w:t>
            </w:r>
          </w:p>
          <w:p w14:paraId="7E922C0C">
            <w:pPr>
              <w:adjustRightInd w:val="0"/>
              <w:spacing w:line="280" w:lineRule="exact"/>
              <w:rPr>
                <w:rFonts w:ascii="宋体" w:hAnsi="宋体" w:cs="宋体"/>
                <w:szCs w:val="21"/>
              </w:rPr>
            </w:pPr>
            <w:r>
              <w:rPr>
                <w:rFonts w:hint="eastAsia" w:ascii="宋体" w:hAnsi="宋体" w:cs="宋体"/>
                <w:szCs w:val="21"/>
              </w:rPr>
              <w:t>（二）因从业人员的建议、批评、举报和控告或者因拒绝违章指挥、强令冒险作业以及因紧急情况下停止作业或者采取紧急撤离措施，降低从业人员工资福利待遇或者解除从业人员劳动合同；</w:t>
            </w:r>
          </w:p>
          <w:p w14:paraId="24D7C950">
            <w:pPr>
              <w:adjustRightInd w:val="0"/>
              <w:spacing w:line="280" w:lineRule="exact"/>
              <w:rPr>
                <w:rFonts w:ascii="宋体" w:hAnsi="宋体" w:cs="宋体"/>
                <w:szCs w:val="21"/>
              </w:rPr>
            </w:pPr>
            <w:r>
              <w:rPr>
                <w:rFonts w:hint="eastAsia" w:ascii="宋体" w:hAnsi="宋体" w:cs="宋体"/>
                <w:szCs w:val="21"/>
              </w:rPr>
              <w:t>（三）与从业人员订立协议，免除或者减轻其对从业人员因生产安全事故伤亡依法应承担的责任；</w:t>
            </w:r>
          </w:p>
          <w:p w14:paraId="3CC8C745">
            <w:pPr>
              <w:adjustRightInd w:val="0"/>
              <w:spacing w:line="280" w:lineRule="exact"/>
              <w:rPr>
                <w:rFonts w:ascii="宋体" w:hAnsi="宋体" w:cs="宋体"/>
                <w:szCs w:val="21"/>
              </w:rPr>
            </w:pPr>
            <w:r>
              <w:rPr>
                <w:rFonts w:hint="eastAsia" w:ascii="宋体" w:hAnsi="宋体" w:cs="宋体"/>
                <w:szCs w:val="21"/>
              </w:rPr>
              <w:t>（四）法律法规规定的其他禁止性行为。</w:t>
            </w:r>
          </w:p>
        </w:tc>
        <w:tc>
          <w:tcPr>
            <w:tcW w:w="1777" w:type="dxa"/>
            <w:vAlign w:val="center"/>
          </w:tcPr>
          <w:p w14:paraId="2BBAA4A7">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《云南省安全生产条例》第三十三条</w:t>
            </w:r>
          </w:p>
        </w:tc>
        <w:tc>
          <w:tcPr>
            <w:tcW w:w="2127" w:type="dxa"/>
            <w:vAlign w:val="center"/>
          </w:tcPr>
          <w:p w14:paraId="6DEFACFF">
            <w:pPr>
              <w:snapToGrid w:val="0"/>
              <w:rPr>
                <w:rFonts w:ascii="宋体" w:hAnsi="宋体" w:cs="宋体"/>
                <w:szCs w:val="21"/>
              </w:rPr>
            </w:pPr>
            <w:r>
              <w:rPr>
                <w:rFonts w:hint="eastAsia" w:ascii="宋体" w:hAnsi="宋体" w:cs="宋体"/>
                <w:szCs w:val="21"/>
              </w:rPr>
              <w:t>未发现相关违法行为。</w:t>
            </w:r>
          </w:p>
        </w:tc>
        <w:tc>
          <w:tcPr>
            <w:tcW w:w="659" w:type="dxa"/>
            <w:vAlign w:val="center"/>
          </w:tcPr>
          <w:p w14:paraId="73E7B766">
            <w:pPr>
              <w:snapToGrid w:val="0"/>
              <w:jc w:val="center"/>
              <w:rPr>
                <w:rFonts w:ascii="宋体" w:hAnsi="宋体" w:cs="宋体"/>
                <w:szCs w:val="21"/>
              </w:rPr>
            </w:pPr>
            <w:r>
              <w:rPr>
                <w:rFonts w:hint="eastAsia" w:ascii="宋体" w:hAnsi="宋体" w:cs="宋体"/>
                <w:szCs w:val="21"/>
              </w:rPr>
              <w:t>符合</w:t>
            </w:r>
          </w:p>
        </w:tc>
      </w:tr>
      <w:tr w14:paraId="1E2E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11701EA">
            <w:pPr>
              <w:numPr>
                <w:ilvl w:val="0"/>
                <w:numId w:val="9"/>
              </w:numPr>
              <w:adjustRightInd w:val="0"/>
              <w:spacing w:line="280" w:lineRule="exact"/>
              <w:jc w:val="center"/>
              <w:rPr>
                <w:rFonts w:ascii="宋体" w:hAnsi="宋体" w:cs="宋体"/>
                <w:szCs w:val="21"/>
              </w:rPr>
            </w:pPr>
          </w:p>
        </w:tc>
        <w:tc>
          <w:tcPr>
            <w:tcW w:w="3323" w:type="dxa"/>
            <w:vAlign w:val="center"/>
          </w:tcPr>
          <w:p w14:paraId="321D23C4">
            <w:pPr>
              <w:adjustRightInd w:val="0"/>
              <w:spacing w:line="280" w:lineRule="exact"/>
              <w:ind w:firstLine="420" w:firstLineChars="200"/>
              <w:rPr>
                <w:rFonts w:ascii="宋体" w:hAnsi="宋体" w:cs="宋体"/>
                <w:szCs w:val="21"/>
              </w:rPr>
            </w:pPr>
            <w:r>
              <w:rPr>
                <w:rFonts w:hint="eastAsia" w:ascii="宋体" w:hAnsi="宋体" w:cs="宋体"/>
                <w:szCs w:val="21"/>
              </w:rPr>
              <w:t>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tc>
        <w:tc>
          <w:tcPr>
            <w:tcW w:w="1777" w:type="dxa"/>
            <w:vAlign w:val="center"/>
          </w:tcPr>
          <w:p w14:paraId="16E0BA70">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《云南省安全生产条例》第四十四条</w:t>
            </w:r>
          </w:p>
        </w:tc>
        <w:tc>
          <w:tcPr>
            <w:tcW w:w="2127" w:type="dxa"/>
            <w:vAlign w:val="center"/>
          </w:tcPr>
          <w:p w14:paraId="0F74D7D9">
            <w:pPr>
              <w:snapToGrid w:val="0"/>
              <w:rPr>
                <w:rFonts w:ascii="宋体" w:hAnsi="宋体" w:cs="宋体"/>
                <w:szCs w:val="21"/>
              </w:rPr>
            </w:pPr>
            <w:r>
              <w:rPr>
                <w:rFonts w:hint="eastAsia" w:ascii="宋体" w:hAnsi="宋体" w:cs="宋体"/>
                <w:szCs w:val="21"/>
              </w:rPr>
              <w:t>已配备相应的应急救援器材。</w:t>
            </w:r>
          </w:p>
        </w:tc>
        <w:tc>
          <w:tcPr>
            <w:tcW w:w="659" w:type="dxa"/>
            <w:vAlign w:val="center"/>
          </w:tcPr>
          <w:p w14:paraId="08D7CE1D">
            <w:pPr>
              <w:snapToGrid w:val="0"/>
              <w:jc w:val="center"/>
              <w:rPr>
                <w:rFonts w:ascii="宋体" w:hAnsi="宋体" w:cs="宋体"/>
                <w:szCs w:val="21"/>
              </w:rPr>
            </w:pPr>
            <w:r>
              <w:rPr>
                <w:rFonts w:hint="eastAsia" w:ascii="宋体" w:hAnsi="宋体" w:cs="宋体"/>
                <w:szCs w:val="21"/>
              </w:rPr>
              <w:t>符合</w:t>
            </w:r>
          </w:p>
        </w:tc>
      </w:tr>
      <w:tr w14:paraId="42E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337A1BC">
            <w:pPr>
              <w:numPr>
                <w:ilvl w:val="0"/>
                <w:numId w:val="9"/>
              </w:numPr>
              <w:adjustRightInd w:val="0"/>
              <w:spacing w:line="280" w:lineRule="exact"/>
              <w:jc w:val="center"/>
              <w:rPr>
                <w:rFonts w:ascii="宋体" w:hAnsi="宋体" w:cs="宋体"/>
                <w:szCs w:val="21"/>
              </w:rPr>
            </w:pPr>
          </w:p>
        </w:tc>
        <w:tc>
          <w:tcPr>
            <w:tcW w:w="3323" w:type="dxa"/>
            <w:vAlign w:val="center"/>
          </w:tcPr>
          <w:p w14:paraId="270E531B">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生产经营单位负责本单位从业人员安全培训工作。</w:t>
            </w:r>
          </w:p>
          <w:p w14:paraId="69B4CEC8">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生产经营单位应当按照安全生产法和有关法律、行政法规和本规定，建立健全安全培训工作制度。</w:t>
            </w:r>
          </w:p>
        </w:tc>
        <w:tc>
          <w:tcPr>
            <w:tcW w:w="1777" w:type="dxa"/>
            <w:vAlign w:val="center"/>
          </w:tcPr>
          <w:p w14:paraId="24CF1794">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《生产经营单位安全培训规定》（安监总局令第3号公布，第80号修正）第3条</w:t>
            </w:r>
          </w:p>
        </w:tc>
        <w:tc>
          <w:tcPr>
            <w:tcW w:w="2127" w:type="dxa"/>
            <w:vAlign w:val="center"/>
          </w:tcPr>
          <w:p w14:paraId="01D682EE">
            <w:pPr>
              <w:adjustRightInd w:val="0"/>
              <w:spacing w:line="280" w:lineRule="exact"/>
              <w:rPr>
                <w:rFonts w:ascii="宋体" w:hAnsi="宋体" w:cs="宋体"/>
                <w:szCs w:val="21"/>
              </w:rPr>
            </w:pPr>
            <w:r>
              <w:rPr>
                <w:rFonts w:hint="eastAsia" w:ascii="宋体" w:hAnsi="宋体" w:cs="宋体"/>
                <w:szCs w:val="21"/>
              </w:rPr>
              <w:t>已建立健全安全培训工作制度。</w:t>
            </w:r>
          </w:p>
        </w:tc>
        <w:tc>
          <w:tcPr>
            <w:tcW w:w="659" w:type="dxa"/>
            <w:vAlign w:val="center"/>
          </w:tcPr>
          <w:p w14:paraId="596494DA">
            <w:pPr>
              <w:adjustRightInd w:val="0"/>
              <w:spacing w:line="280" w:lineRule="exact"/>
              <w:rPr>
                <w:rFonts w:ascii="宋体" w:hAnsi="宋体" w:cs="宋体"/>
                <w:szCs w:val="21"/>
              </w:rPr>
            </w:pPr>
            <w:r>
              <w:rPr>
                <w:rFonts w:hint="eastAsia" w:ascii="宋体" w:hAnsi="宋体" w:cs="宋体"/>
                <w:szCs w:val="21"/>
              </w:rPr>
              <w:t>符合</w:t>
            </w:r>
          </w:p>
        </w:tc>
      </w:tr>
      <w:tr w14:paraId="468E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75789BF">
            <w:pPr>
              <w:numPr>
                <w:ilvl w:val="0"/>
                <w:numId w:val="9"/>
              </w:numPr>
              <w:adjustRightInd w:val="0"/>
              <w:spacing w:line="280" w:lineRule="exact"/>
              <w:jc w:val="center"/>
              <w:rPr>
                <w:rFonts w:ascii="宋体" w:hAnsi="宋体" w:cs="宋体"/>
                <w:szCs w:val="21"/>
              </w:rPr>
            </w:pPr>
          </w:p>
        </w:tc>
        <w:tc>
          <w:tcPr>
            <w:tcW w:w="3323" w:type="dxa"/>
            <w:vAlign w:val="center"/>
          </w:tcPr>
          <w:p w14:paraId="2F8BA110">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生产经营单位应当进行安全培训的从业人员包括主要负责人、安全生产管理人员、特种作业人员和其他从业人员。</w:t>
            </w:r>
          </w:p>
          <w:p w14:paraId="5D64F401">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生产经营单位从业人员应当接受安全培训，熟悉有关安全生产规章制度和安全操作规程，具备必要的安全生产知识，掌握本岗位的安全操作技能，增强预防事故、控制职业危害和应急处理的能力。</w:t>
            </w:r>
          </w:p>
          <w:p w14:paraId="3D5C5F3F">
            <w:pPr>
              <w:adjustRightInd w:val="0"/>
              <w:spacing w:line="280" w:lineRule="exact"/>
              <w:ind w:firstLine="420" w:firstLineChars="200"/>
              <w:jc w:val="left"/>
              <w:rPr>
                <w:rFonts w:ascii="宋体" w:hAnsi="宋体" w:cs="宋体"/>
                <w:szCs w:val="21"/>
              </w:rPr>
            </w:pPr>
            <w:r>
              <w:rPr>
                <w:rFonts w:hint="eastAsia" w:ascii="宋体" w:hAnsi="宋体" w:cs="宋体"/>
                <w:szCs w:val="21"/>
              </w:rPr>
              <w:t>未经安全生产培训合格的从业人员，不得上岗作业。</w:t>
            </w:r>
          </w:p>
        </w:tc>
        <w:tc>
          <w:tcPr>
            <w:tcW w:w="1777" w:type="dxa"/>
            <w:vAlign w:val="center"/>
          </w:tcPr>
          <w:p w14:paraId="7E77B508">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《生产经营单位安全培训规定》（安监总局令第3号公布，第80号修正）第4条</w:t>
            </w:r>
          </w:p>
        </w:tc>
        <w:tc>
          <w:tcPr>
            <w:tcW w:w="2127" w:type="dxa"/>
            <w:vAlign w:val="center"/>
          </w:tcPr>
          <w:p w14:paraId="58DC127E">
            <w:pPr>
              <w:adjustRightInd w:val="0"/>
              <w:spacing w:line="280" w:lineRule="exact"/>
              <w:rPr>
                <w:rFonts w:ascii="宋体" w:hAnsi="宋体" w:cs="宋体"/>
                <w:szCs w:val="21"/>
              </w:rPr>
            </w:pPr>
            <w:r>
              <w:rPr>
                <w:rFonts w:hint="eastAsia" w:ascii="宋体" w:hAnsi="宋体" w:cs="宋体"/>
                <w:szCs w:val="21"/>
              </w:rPr>
              <w:t>投资人、安全员已培训，特种作业人员委托作业。</w:t>
            </w:r>
          </w:p>
        </w:tc>
        <w:tc>
          <w:tcPr>
            <w:tcW w:w="659" w:type="dxa"/>
            <w:vAlign w:val="center"/>
          </w:tcPr>
          <w:p w14:paraId="00FA8499">
            <w:pPr>
              <w:adjustRightInd w:val="0"/>
              <w:spacing w:line="280" w:lineRule="exact"/>
              <w:rPr>
                <w:rFonts w:ascii="宋体" w:hAnsi="宋体" w:cs="宋体"/>
                <w:szCs w:val="21"/>
              </w:rPr>
            </w:pPr>
            <w:r>
              <w:rPr>
                <w:rFonts w:hint="eastAsia" w:ascii="宋体" w:hAnsi="宋体" w:cs="宋体"/>
                <w:szCs w:val="21"/>
              </w:rPr>
              <w:t>符合</w:t>
            </w:r>
          </w:p>
        </w:tc>
      </w:tr>
      <w:tr w14:paraId="004E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B09E92A">
            <w:pPr>
              <w:numPr>
                <w:ilvl w:val="0"/>
                <w:numId w:val="9"/>
              </w:numPr>
              <w:adjustRightInd w:val="0"/>
              <w:spacing w:line="280" w:lineRule="exact"/>
              <w:jc w:val="center"/>
              <w:rPr>
                <w:rFonts w:ascii="宋体" w:hAnsi="宋体" w:cs="宋体"/>
                <w:szCs w:val="21"/>
              </w:rPr>
            </w:pPr>
          </w:p>
        </w:tc>
        <w:tc>
          <w:tcPr>
            <w:tcW w:w="3323" w:type="dxa"/>
            <w:vAlign w:val="center"/>
          </w:tcPr>
          <w:p w14:paraId="70FC7F0A">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生产经营单位主要负责人和安全生产管理人员应当接受安全培训，具备与所从事的生产经营活动相适应的安全生产知识和管理能力。</w:t>
            </w:r>
          </w:p>
        </w:tc>
        <w:tc>
          <w:tcPr>
            <w:tcW w:w="1777" w:type="dxa"/>
            <w:vAlign w:val="center"/>
          </w:tcPr>
          <w:p w14:paraId="0AF72DD5">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《生产经营单位安全培训规定》（安监总局令第3号公布，第80号修正）第6条</w:t>
            </w:r>
          </w:p>
        </w:tc>
        <w:tc>
          <w:tcPr>
            <w:tcW w:w="2127" w:type="dxa"/>
            <w:vAlign w:val="center"/>
          </w:tcPr>
          <w:p w14:paraId="1BD6F696">
            <w:pPr>
              <w:adjustRightInd w:val="0"/>
              <w:spacing w:line="280" w:lineRule="exact"/>
              <w:rPr>
                <w:rFonts w:ascii="宋体" w:hAnsi="宋体" w:cs="宋体"/>
                <w:szCs w:val="21"/>
              </w:rPr>
            </w:pPr>
            <w:r>
              <w:rPr>
                <w:rFonts w:hint="eastAsia" w:ascii="宋体" w:hAnsi="宋体" w:cs="宋体"/>
                <w:szCs w:val="21"/>
              </w:rPr>
              <w:t>主要负责人、站长、安全员均已培训。</w:t>
            </w:r>
          </w:p>
        </w:tc>
        <w:tc>
          <w:tcPr>
            <w:tcW w:w="659" w:type="dxa"/>
            <w:vAlign w:val="center"/>
          </w:tcPr>
          <w:p w14:paraId="479F3830">
            <w:pPr>
              <w:adjustRightInd w:val="0"/>
              <w:spacing w:line="280" w:lineRule="exact"/>
              <w:rPr>
                <w:rFonts w:ascii="宋体" w:hAnsi="宋体" w:cs="宋体"/>
                <w:szCs w:val="21"/>
              </w:rPr>
            </w:pPr>
            <w:r>
              <w:rPr>
                <w:rFonts w:hint="eastAsia" w:ascii="宋体" w:hAnsi="宋体" w:cs="宋体"/>
                <w:szCs w:val="21"/>
              </w:rPr>
              <w:t>符合</w:t>
            </w:r>
          </w:p>
        </w:tc>
      </w:tr>
      <w:tr w14:paraId="2B2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FA1D98C">
            <w:pPr>
              <w:numPr>
                <w:ilvl w:val="0"/>
                <w:numId w:val="9"/>
              </w:numPr>
              <w:adjustRightInd w:val="0"/>
              <w:spacing w:line="280" w:lineRule="exact"/>
              <w:jc w:val="center"/>
              <w:rPr>
                <w:rFonts w:ascii="宋体" w:hAnsi="宋体" w:cs="宋体"/>
                <w:szCs w:val="21"/>
              </w:rPr>
            </w:pPr>
          </w:p>
        </w:tc>
        <w:tc>
          <w:tcPr>
            <w:tcW w:w="3323" w:type="dxa"/>
            <w:vAlign w:val="center"/>
          </w:tcPr>
          <w:p w14:paraId="634AB663">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生产经营单位应当建立健全事故隐患排查治理制度。</w:t>
            </w:r>
            <w:r>
              <w:rPr>
                <w:rFonts w:hint="eastAsia" w:ascii="宋体" w:hAnsi="宋体" w:cs="宋体"/>
                <w:szCs w:val="21"/>
              </w:rPr>
              <w:br w:type="textWrapping"/>
            </w:r>
            <w:r>
              <w:rPr>
                <w:rFonts w:hint="eastAsia" w:ascii="宋体" w:hAnsi="宋体" w:cs="宋体"/>
                <w:szCs w:val="21"/>
              </w:rPr>
              <w:t>　　生产经营单位主要负责人对本单位事故隐患排查治理工作全面负责。</w:t>
            </w:r>
          </w:p>
        </w:tc>
        <w:tc>
          <w:tcPr>
            <w:tcW w:w="1777" w:type="dxa"/>
            <w:vAlign w:val="center"/>
          </w:tcPr>
          <w:p w14:paraId="27ABED80">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63633429">
            <w:pPr>
              <w:adjustRightInd w:val="0"/>
              <w:spacing w:line="280" w:lineRule="exact"/>
              <w:jc w:val="center"/>
              <w:rPr>
                <w:rFonts w:ascii="宋体" w:hAnsi="宋体" w:cs="宋体"/>
                <w:szCs w:val="21"/>
              </w:rPr>
            </w:pPr>
            <w:r>
              <w:rPr>
                <w:rFonts w:hint="eastAsia" w:ascii="宋体" w:hAnsi="宋体" w:cs="宋体"/>
                <w:szCs w:val="21"/>
              </w:rPr>
              <w:t>第4条</w:t>
            </w:r>
          </w:p>
        </w:tc>
        <w:tc>
          <w:tcPr>
            <w:tcW w:w="2127" w:type="dxa"/>
            <w:vAlign w:val="center"/>
          </w:tcPr>
          <w:p w14:paraId="6D11D603">
            <w:pPr>
              <w:adjustRightInd w:val="0"/>
              <w:spacing w:line="280" w:lineRule="exact"/>
              <w:jc w:val="left"/>
              <w:rPr>
                <w:rFonts w:ascii="宋体" w:hAnsi="宋体" w:cs="宋体"/>
                <w:szCs w:val="21"/>
              </w:rPr>
            </w:pPr>
            <w:r>
              <w:rPr>
                <w:rFonts w:hint="eastAsia" w:ascii="宋体" w:hAnsi="宋体" w:cs="宋体"/>
                <w:szCs w:val="21"/>
              </w:rPr>
              <w:t>企业已建立健全事故隐患排查治理制度和长效机制。</w:t>
            </w:r>
          </w:p>
        </w:tc>
        <w:tc>
          <w:tcPr>
            <w:tcW w:w="659" w:type="dxa"/>
            <w:vAlign w:val="center"/>
          </w:tcPr>
          <w:p w14:paraId="39349F09">
            <w:pPr>
              <w:adjustRightInd w:val="0"/>
              <w:spacing w:line="280" w:lineRule="exact"/>
              <w:rPr>
                <w:rFonts w:ascii="宋体" w:hAnsi="宋体" w:cs="宋体"/>
                <w:szCs w:val="21"/>
              </w:rPr>
            </w:pPr>
            <w:r>
              <w:rPr>
                <w:rFonts w:hint="eastAsia" w:ascii="宋体" w:hAnsi="宋体" w:cs="宋体"/>
                <w:szCs w:val="21"/>
              </w:rPr>
              <w:t>符合</w:t>
            </w:r>
          </w:p>
        </w:tc>
      </w:tr>
      <w:tr w14:paraId="4DD9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8818ABE">
            <w:pPr>
              <w:numPr>
                <w:ilvl w:val="0"/>
                <w:numId w:val="9"/>
              </w:numPr>
              <w:adjustRightInd w:val="0"/>
              <w:spacing w:line="280" w:lineRule="exact"/>
              <w:jc w:val="center"/>
              <w:rPr>
                <w:rFonts w:ascii="宋体" w:hAnsi="宋体" w:cs="宋体"/>
                <w:szCs w:val="21"/>
              </w:rPr>
            </w:pPr>
          </w:p>
        </w:tc>
        <w:tc>
          <w:tcPr>
            <w:tcW w:w="3323" w:type="dxa"/>
            <w:vAlign w:val="center"/>
          </w:tcPr>
          <w:p w14:paraId="21ED9975">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生产经营单位应当保证事故隐患排查治理所需的资金，建立资金使用专项制度。</w:t>
            </w:r>
          </w:p>
        </w:tc>
        <w:tc>
          <w:tcPr>
            <w:tcW w:w="1777" w:type="dxa"/>
            <w:vAlign w:val="center"/>
          </w:tcPr>
          <w:p w14:paraId="79C8009E">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221F027C">
            <w:pPr>
              <w:adjustRightInd w:val="0"/>
              <w:spacing w:line="280" w:lineRule="exact"/>
              <w:jc w:val="center"/>
              <w:rPr>
                <w:rFonts w:ascii="宋体" w:hAnsi="宋体" w:cs="宋体"/>
                <w:szCs w:val="21"/>
              </w:rPr>
            </w:pPr>
            <w:r>
              <w:rPr>
                <w:rFonts w:hint="eastAsia" w:ascii="宋体" w:hAnsi="宋体" w:cs="宋体"/>
                <w:szCs w:val="21"/>
              </w:rPr>
              <w:t>第9条</w:t>
            </w:r>
          </w:p>
        </w:tc>
        <w:tc>
          <w:tcPr>
            <w:tcW w:w="2127" w:type="dxa"/>
            <w:vAlign w:val="center"/>
          </w:tcPr>
          <w:p w14:paraId="668832DA">
            <w:pPr>
              <w:adjustRightInd w:val="0"/>
              <w:spacing w:line="280" w:lineRule="exact"/>
              <w:rPr>
                <w:rFonts w:ascii="宋体" w:hAnsi="宋体" w:cs="宋体"/>
                <w:szCs w:val="21"/>
              </w:rPr>
            </w:pPr>
            <w:r>
              <w:rPr>
                <w:rFonts w:hint="eastAsia" w:ascii="宋体" w:hAnsi="宋体" w:cs="宋体"/>
                <w:szCs w:val="21"/>
              </w:rPr>
              <w:t>整改资金按需要投入。</w:t>
            </w:r>
          </w:p>
        </w:tc>
        <w:tc>
          <w:tcPr>
            <w:tcW w:w="659" w:type="dxa"/>
            <w:vAlign w:val="center"/>
          </w:tcPr>
          <w:p w14:paraId="04BA7108">
            <w:pPr>
              <w:adjustRightInd w:val="0"/>
              <w:spacing w:line="280" w:lineRule="exact"/>
              <w:rPr>
                <w:rFonts w:ascii="宋体" w:hAnsi="宋体" w:cs="宋体"/>
                <w:szCs w:val="21"/>
              </w:rPr>
            </w:pPr>
            <w:r>
              <w:rPr>
                <w:rFonts w:hint="eastAsia" w:ascii="宋体" w:hAnsi="宋体" w:cs="宋体"/>
                <w:szCs w:val="21"/>
              </w:rPr>
              <w:t>符合</w:t>
            </w:r>
          </w:p>
        </w:tc>
      </w:tr>
      <w:tr w14:paraId="6862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23FBF2EE">
            <w:pPr>
              <w:numPr>
                <w:ilvl w:val="0"/>
                <w:numId w:val="9"/>
              </w:numPr>
              <w:adjustRightInd w:val="0"/>
              <w:spacing w:line="280" w:lineRule="exact"/>
              <w:jc w:val="center"/>
              <w:rPr>
                <w:rFonts w:ascii="宋体" w:hAnsi="宋体" w:cs="宋体"/>
                <w:szCs w:val="21"/>
              </w:rPr>
            </w:pPr>
          </w:p>
        </w:tc>
        <w:tc>
          <w:tcPr>
            <w:tcW w:w="3323" w:type="dxa"/>
            <w:vAlign w:val="center"/>
          </w:tcPr>
          <w:p w14:paraId="7D61FD53">
            <w:pPr>
              <w:adjustRightInd w:val="0"/>
              <w:spacing w:line="280" w:lineRule="exact"/>
              <w:rPr>
                <w:rFonts w:ascii="宋体" w:hAnsi="宋体" w:cs="宋体"/>
                <w:szCs w:val="21"/>
              </w:rPr>
            </w:pPr>
            <w:r>
              <w:rPr>
                <w:rFonts w:hint="eastAsia" w:ascii="宋体" w:hAnsi="宋体" w:cs="宋体"/>
                <w:szCs w:val="21"/>
              </w:rPr>
              <w:t>一、必须依法设立、证照齐全有效。</w:t>
            </w:r>
          </w:p>
        </w:tc>
        <w:tc>
          <w:tcPr>
            <w:tcW w:w="1777" w:type="dxa"/>
            <w:vMerge w:val="restart"/>
            <w:vAlign w:val="center"/>
          </w:tcPr>
          <w:p w14:paraId="6EEA2BAE">
            <w:pPr>
              <w:adjustRightInd w:val="0"/>
              <w:spacing w:line="280" w:lineRule="exact"/>
              <w:jc w:val="center"/>
              <w:rPr>
                <w:rFonts w:ascii="宋体" w:hAnsi="宋体" w:cs="宋体"/>
                <w:szCs w:val="21"/>
              </w:rPr>
            </w:pPr>
            <w:r>
              <w:rPr>
                <w:rFonts w:hint="eastAsia" w:ascii="宋体" w:hAnsi="宋体" w:cs="宋体"/>
                <w:szCs w:val="21"/>
              </w:rPr>
              <w:t>《化工（危险化学品）企业保障生产安全十条规定》</w:t>
            </w:r>
          </w:p>
          <w:p w14:paraId="45D6758C">
            <w:pPr>
              <w:adjustRightInd w:val="0"/>
              <w:spacing w:line="280" w:lineRule="exact"/>
              <w:jc w:val="center"/>
              <w:rPr>
                <w:rFonts w:ascii="宋体" w:hAnsi="宋体" w:cs="宋体"/>
                <w:szCs w:val="21"/>
              </w:rPr>
            </w:pPr>
            <w:r>
              <w:rPr>
                <w:rFonts w:hint="eastAsia" w:ascii="宋体" w:hAnsi="宋体" w:cs="宋体"/>
                <w:szCs w:val="21"/>
              </w:rPr>
              <w:t>（安监总政法﹝2017﹞15号）</w:t>
            </w:r>
          </w:p>
        </w:tc>
        <w:tc>
          <w:tcPr>
            <w:tcW w:w="2127" w:type="dxa"/>
            <w:vAlign w:val="center"/>
          </w:tcPr>
          <w:p w14:paraId="18E0EC57">
            <w:pPr>
              <w:adjustRightInd w:val="0"/>
              <w:spacing w:line="280" w:lineRule="exact"/>
              <w:rPr>
                <w:rFonts w:ascii="宋体" w:hAnsi="宋体" w:cs="宋体"/>
                <w:szCs w:val="21"/>
              </w:rPr>
            </w:pPr>
            <w:r>
              <w:rPr>
                <w:rFonts w:hint="eastAsia" w:ascii="宋体" w:hAnsi="宋体" w:cs="宋体"/>
                <w:szCs w:val="21"/>
              </w:rPr>
              <w:t>企业证照齐全。</w:t>
            </w:r>
          </w:p>
        </w:tc>
        <w:tc>
          <w:tcPr>
            <w:tcW w:w="659" w:type="dxa"/>
            <w:vAlign w:val="center"/>
          </w:tcPr>
          <w:p w14:paraId="63B4A2DB">
            <w:pPr>
              <w:adjustRightInd w:val="0"/>
              <w:spacing w:line="280" w:lineRule="exact"/>
              <w:rPr>
                <w:rFonts w:ascii="宋体" w:hAnsi="宋体" w:cs="宋体"/>
                <w:szCs w:val="21"/>
              </w:rPr>
            </w:pPr>
            <w:r>
              <w:rPr>
                <w:rFonts w:hint="eastAsia" w:ascii="宋体" w:hAnsi="宋体" w:cs="宋体"/>
                <w:szCs w:val="21"/>
              </w:rPr>
              <w:t>符合</w:t>
            </w:r>
          </w:p>
        </w:tc>
      </w:tr>
      <w:tr w14:paraId="2936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85C5BD8">
            <w:pPr>
              <w:adjustRightInd w:val="0"/>
              <w:spacing w:line="280" w:lineRule="exact"/>
              <w:jc w:val="center"/>
              <w:rPr>
                <w:rFonts w:ascii="宋体" w:hAnsi="宋体" w:cs="宋体"/>
                <w:szCs w:val="21"/>
              </w:rPr>
            </w:pPr>
          </w:p>
        </w:tc>
        <w:tc>
          <w:tcPr>
            <w:tcW w:w="3323" w:type="dxa"/>
            <w:vAlign w:val="center"/>
          </w:tcPr>
          <w:p w14:paraId="17F7D26E">
            <w:pPr>
              <w:adjustRightInd w:val="0"/>
              <w:spacing w:line="280" w:lineRule="exact"/>
              <w:rPr>
                <w:rFonts w:ascii="宋体" w:hAnsi="宋体" w:cs="宋体"/>
                <w:szCs w:val="21"/>
              </w:rPr>
            </w:pPr>
            <w:r>
              <w:rPr>
                <w:rFonts w:hint="eastAsia" w:ascii="宋体" w:hAnsi="宋体" w:cs="宋体"/>
                <w:szCs w:val="21"/>
              </w:rPr>
              <w:t>二、必须建立健全并严格落实全员安全生产责任制，严格执行领导带班值班制度。</w:t>
            </w:r>
          </w:p>
        </w:tc>
        <w:tc>
          <w:tcPr>
            <w:tcW w:w="1777" w:type="dxa"/>
            <w:vMerge w:val="continue"/>
            <w:vAlign w:val="center"/>
          </w:tcPr>
          <w:p w14:paraId="0D365473">
            <w:pPr>
              <w:adjustRightInd w:val="0"/>
              <w:spacing w:line="280" w:lineRule="exact"/>
              <w:jc w:val="center"/>
              <w:rPr>
                <w:rFonts w:ascii="宋体" w:hAnsi="宋体" w:cs="宋体"/>
                <w:szCs w:val="21"/>
              </w:rPr>
            </w:pPr>
          </w:p>
        </w:tc>
        <w:tc>
          <w:tcPr>
            <w:tcW w:w="2127" w:type="dxa"/>
            <w:vAlign w:val="center"/>
          </w:tcPr>
          <w:p w14:paraId="53E3E679">
            <w:pPr>
              <w:adjustRightInd w:val="0"/>
              <w:spacing w:line="280" w:lineRule="exact"/>
              <w:rPr>
                <w:rFonts w:ascii="宋体" w:hAnsi="宋体" w:cs="宋体"/>
                <w:szCs w:val="21"/>
              </w:rPr>
            </w:pPr>
            <w:r>
              <w:rPr>
                <w:rFonts w:hint="eastAsia" w:ascii="宋体" w:hAnsi="宋体" w:cs="宋体"/>
                <w:szCs w:val="21"/>
              </w:rPr>
              <w:t>已建立健全安全责任制。</w:t>
            </w:r>
          </w:p>
        </w:tc>
        <w:tc>
          <w:tcPr>
            <w:tcW w:w="659" w:type="dxa"/>
            <w:vAlign w:val="center"/>
          </w:tcPr>
          <w:p w14:paraId="74202E8A">
            <w:pPr>
              <w:adjustRightInd w:val="0"/>
              <w:spacing w:line="280" w:lineRule="exact"/>
              <w:rPr>
                <w:rFonts w:ascii="宋体" w:hAnsi="宋体" w:cs="宋体"/>
                <w:szCs w:val="21"/>
              </w:rPr>
            </w:pPr>
            <w:r>
              <w:rPr>
                <w:rFonts w:hint="eastAsia" w:ascii="宋体" w:hAnsi="宋体" w:cs="宋体"/>
                <w:szCs w:val="21"/>
              </w:rPr>
              <w:t>符合</w:t>
            </w:r>
          </w:p>
        </w:tc>
      </w:tr>
      <w:tr w14:paraId="483A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B191A3F">
            <w:pPr>
              <w:adjustRightInd w:val="0"/>
              <w:spacing w:line="280" w:lineRule="exact"/>
              <w:jc w:val="center"/>
              <w:rPr>
                <w:rFonts w:ascii="宋体" w:hAnsi="宋体" w:cs="宋体"/>
                <w:szCs w:val="21"/>
              </w:rPr>
            </w:pPr>
          </w:p>
        </w:tc>
        <w:tc>
          <w:tcPr>
            <w:tcW w:w="3323" w:type="dxa"/>
            <w:vAlign w:val="center"/>
          </w:tcPr>
          <w:p w14:paraId="2F29B263">
            <w:pPr>
              <w:adjustRightInd w:val="0"/>
              <w:spacing w:line="280" w:lineRule="exact"/>
              <w:rPr>
                <w:rFonts w:ascii="宋体" w:hAnsi="宋体" w:cs="宋体"/>
                <w:szCs w:val="21"/>
              </w:rPr>
            </w:pPr>
            <w:r>
              <w:rPr>
                <w:rFonts w:hint="eastAsia" w:ascii="宋体" w:hAnsi="宋体" w:cs="宋体"/>
                <w:szCs w:val="21"/>
              </w:rPr>
              <w:t>三、必须确保从业人员符合录用条件并培训合格，依法持证上岗。</w:t>
            </w:r>
          </w:p>
        </w:tc>
        <w:tc>
          <w:tcPr>
            <w:tcW w:w="1777" w:type="dxa"/>
            <w:vMerge w:val="continue"/>
            <w:vAlign w:val="center"/>
          </w:tcPr>
          <w:p w14:paraId="419508CA">
            <w:pPr>
              <w:adjustRightInd w:val="0"/>
              <w:spacing w:line="280" w:lineRule="exact"/>
              <w:jc w:val="center"/>
              <w:rPr>
                <w:rFonts w:ascii="宋体" w:hAnsi="宋体" w:cs="宋体"/>
                <w:szCs w:val="21"/>
              </w:rPr>
            </w:pPr>
          </w:p>
        </w:tc>
        <w:tc>
          <w:tcPr>
            <w:tcW w:w="2127" w:type="dxa"/>
            <w:vAlign w:val="center"/>
          </w:tcPr>
          <w:p w14:paraId="41E33E4A">
            <w:pPr>
              <w:adjustRightInd w:val="0"/>
              <w:spacing w:line="280" w:lineRule="exact"/>
              <w:rPr>
                <w:rFonts w:ascii="宋体" w:hAnsi="宋体" w:cs="宋体"/>
                <w:szCs w:val="21"/>
              </w:rPr>
            </w:pPr>
            <w:r>
              <w:rPr>
                <w:rFonts w:hint="eastAsia" w:ascii="宋体" w:hAnsi="宋体" w:cs="宋体"/>
                <w:szCs w:val="21"/>
              </w:rPr>
              <w:t>已培训。</w:t>
            </w:r>
          </w:p>
        </w:tc>
        <w:tc>
          <w:tcPr>
            <w:tcW w:w="659" w:type="dxa"/>
            <w:vAlign w:val="center"/>
          </w:tcPr>
          <w:p w14:paraId="40150C19">
            <w:pPr>
              <w:adjustRightInd w:val="0"/>
              <w:spacing w:line="280" w:lineRule="exact"/>
              <w:rPr>
                <w:rFonts w:ascii="宋体" w:hAnsi="宋体" w:cs="宋体"/>
                <w:szCs w:val="21"/>
              </w:rPr>
            </w:pPr>
            <w:r>
              <w:rPr>
                <w:rFonts w:hint="eastAsia" w:ascii="宋体" w:hAnsi="宋体" w:cs="宋体"/>
                <w:szCs w:val="21"/>
              </w:rPr>
              <w:t>符合</w:t>
            </w:r>
          </w:p>
        </w:tc>
      </w:tr>
      <w:tr w14:paraId="5CC9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188EA68C">
            <w:pPr>
              <w:adjustRightInd w:val="0"/>
              <w:spacing w:line="280" w:lineRule="exact"/>
              <w:jc w:val="center"/>
              <w:rPr>
                <w:rFonts w:ascii="宋体" w:hAnsi="宋体" w:cs="宋体"/>
                <w:szCs w:val="21"/>
              </w:rPr>
            </w:pPr>
          </w:p>
        </w:tc>
        <w:tc>
          <w:tcPr>
            <w:tcW w:w="3323" w:type="dxa"/>
            <w:vAlign w:val="center"/>
          </w:tcPr>
          <w:p w14:paraId="3E5B5A13">
            <w:pPr>
              <w:adjustRightInd w:val="0"/>
              <w:spacing w:line="280" w:lineRule="exact"/>
              <w:rPr>
                <w:rFonts w:ascii="宋体" w:hAnsi="宋体" w:cs="宋体"/>
                <w:szCs w:val="21"/>
              </w:rPr>
            </w:pPr>
            <w:r>
              <w:rPr>
                <w:rFonts w:hint="eastAsia" w:ascii="宋体" w:hAnsi="宋体" w:cs="宋体"/>
                <w:szCs w:val="21"/>
              </w:rPr>
              <w:t>四、必须严格管控重大危险源，严格变更管理，遇险科学施救。</w:t>
            </w:r>
          </w:p>
        </w:tc>
        <w:tc>
          <w:tcPr>
            <w:tcW w:w="1777" w:type="dxa"/>
            <w:vMerge w:val="continue"/>
            <w:vAlign w:val="center"/>
          </w:tcPr>
          <w:p w14:paraId="34EDB190">
            <w:pPr>
              <w:adjustRightInd w:val="0"/>
              <w:spacing w:line="280" w:lineRule="exact"/>
              <w:jc w:val="center"/>
              <w:rPr>
                <w:rFonts w:ascii="宋体" w:hAnsi="宋体" w:cs="宋体"/>
                <w:szCs w:val="21"/>
              </w:rPr>
            </w:pPr>
          </w:p>
        </w:tc>
        <w:tc>
          <w:tcPr>
            <w:tcW w:w="2127" w:type="dxa"/>
            <w:vAlign w:val="center"/>
          </w:tcPr>
          <w:p w14:paraId="200F528D">
            <w:pPr>
              <w:adjustRightInd w:val="0"/>
              <w:spacing w:line="280" w:lineRule="exact"/>
              <w:rPr>
                <w:rFonts w:ascii="宋体" w:hAnsi="宋体" w:cs="宋体"/>
                <w:szCs w:val="21"/>
              </w:rPr>
            </w:pPr>
            <w:r>
              <w:rPr>
                <w:rFonts w:hint="eastAsia" w:ascii="宋体" w:hAnsi="宋体" w:cs="宋体"/>
                <w:szCs w:val="21"/>
              </w:rPr>
              <w:t>不涉及重大危险源。</w:t>
            </w:r>
          </w:p>
        </w:tc>
        <w:tc>
          <w:tcPr>
            <w:tcW w:w="659" w:type="dxa"/>
            <w:vAlign w:val="center"/>
          </w:tcPr>
          <w:p w14:paraId="52846EA2">
            <w:pPr>
              <w:adjustRightInd w:val="0"/>
              <w:spacing w:line="280" w:lineRule="exact"/>
              <w:jc w:val="center"/>
              <w:rPr>
                <w:rFonts w:ascii="宋体" w:hAnsi="宋体" w:cs="宋体"/>
                <w:szCs w:val="21"/>
              </w:rPr>
            </w:pPr>
            <w:r>
              <w:rPr>
                <w:rFonts w:hint="eastAsia" w:ascii="宋体" w:hAnsi="宋体" w:cs="宋体"/>
                <w:szCs w:val="21"/>
              </w:rPr>
              <w:t xml:space="preserve">/ </w:t>
            </w:r>
          </w:p>
        </w:tc>
      </w:tr>
      <w:tr w14:paraId="28FF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1667694">
            <w:pPr>
              <w:adjustRightInd w:val="0"/>
              <w:spacing w:line="280" w:lineRule="exact"/>
              <w:jc w:val="center"/>
              <w:rPr>
                <w:rFonts w:ascii="宋体" w:hAnsi="宋体" w:cs="宋体"/>
                <w:szCs w:val="21"/>
              </w:rPr>
            </w:pPr>
          </w:p>
        </w:tc>
        <w:tc>
          <w:tcPr>
            <w:tcW w:w="3323" w:type="dxa"/>
            <w:vAlign w:val="center"/>
          </w:tcPr>
          <w:p w14:paraId="0C0E54FB">
            <w:pPr>
              <w:adjustRightInd w:val="0"/>
              <w:spacing w:line="280" w:lineRule="exact"/>
              <w:rPr>
                <w:rFonts w:ascii="宋体" w:hAnsi="宋体" w:cs="宋体"/>
                <w:szCs w:val="21"/>
              </w:rPr>
            </w:pPr>
            <w:r>
              <w:rPr>
                <w:rFonts w:hint="eastAsia" w:ascii="宋体" w:hAnsi="宋体" w:cs="宋体"/>
                <w:szCs w:val="21"/>
              </w:rPr>
              <w:t>五、必须按照《危险化学品企业事故隐患排查治理实施导则》要求排查治理隐患。</w:t>
            </w:r>
          </w:p>
        </w:tc>
        <w:tc>
          <w:tcPr>
            <w:tcW w:w="1777" w:type="dxa"/>
            <w:vMerge w:val="continue"/>
            <w:vAlign w:val="center"/>
          </w:tcPr>
          <w:p w14:paraId="2D5700A6">
            <w:pPr>
              <w:adjustRightInd w:val="0"/>
              <w:spacing w:line="280" w:lineRule="exact"/>
              <w:jc w:val="center"/>
              <w:rPr>
                <w:rFonts w:ascii="宋体" w:hAnsi="宋体" w:cs="宋体"/>
                <w:szCs w:val="21"/>
              </w:rPr>
            </w:pPr>
          </w:p>
        </w:tc>
        <w:tc>
          <w:tcPr>
            <w:tcW w:w="2127" w:type="dxa"/>
            <w:vAlign w:val="center"/>
          </w:tcPr>
          <w:p w14:paraId="3F6B7BE4">
            <w:pPr>
              <w:adjustRightInd w:val="0"/>
              <w:spacing w:line="280" w:lineRule="exact"/>
              <w:rPr>
                <w:rFonts w:ascii="宋体" w:hAnsi="宋体" w:cs="宋体"/>
                <w:szCs w:val="21"/>
              </w:rPr>
            </w:pPr>
            <w:r>
              <w:rPr>
                <w:rFonts w:hint="eastAsia" w:ascii="宋体" w:hAnsi="宋体" w:cs="宋体"/>
                <w:szCs w:val="21"/>
              </w:rPr>
              <w:t>按照要求排查治理隐患。</w:t>
            </w:r>
          </w:p>
        </w:tc>
        <w:tc>
          <w:tcPr>
            <w:tcW w:w="659" w:type="dxa"/>
            <w:vAlign w:val="center"/>
          </w:tcPr>
          <w:p w14:paraId="41AA6755">
            <w:pPr>
              <w:adjustRightInd w:val="0"/>
              <w:spacing w:line="280" w:lineRule="exact"/>
              <w:jc w:val="center"/>
              <w:rPr>
                <w:rFonts w:ascii="宋体" w:hAnsi="宋体" w:cs="宋体"/>
                <w:szCs w:val="21"/>
              </w:rPr>
            </w:pPr>
            <w:r>
              <w:rPr>
                <w:rFonts w:hint="eastAsia" w:ascii="宋体" w:hAnsi="宋体" w:cs="宋体"/>
                <w:szCs w:val="21"/>
              </w:rPr>
              <w:t>符合</w:t>
            </w:r>
          </w:p>
        </w:tc>
      </w:tr>
      <w:tr w14:paraId="4AB5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60D2B62">
            <w:pPr>
              <w:adjustRightInd w:val="0"/>
              <w:spacing w:line="280" w:lineRule="exact"/>
              <w:jc w:val="center"/>
              <w:rPr>
                <w:rFonts w:ascii="宋体" w:hAnsi="宋体" w:cs="宋体"/>
                <w:szCs w:val="21"/>
              </w:rPr>
            </w:pPr>
          </w:p>
        </w:tc>
        <w:tc>
          <w:tcPr>
            <w:tcW w:w="3323" w:type="dxa"/>
            <w:vAlign w:val="center"/>
          </w:tcPr>
          <w:p w14:paraId="54253536">
            <w:pPr>
              <w:adjustRightInd w:val="0"/>
              <w:spacing w:line="280" w:lineRule="exact"/>
              <w:rPr>
                <w:rFonts w:ascii="宋体" w:hAnsi="宋体" w:cs="宋体"/>
                <w:szCs w:val="21"/>
              </w:rPr>
            </w:pPr>
            <w:r>
              <w:rPr>
                <w:rFonts w:hint="eastAsia" w:ascii="宋体" w:hAnsi="宋体" w:cs="宋体"/>
                <w:szCs w:val="21"/>
              </w:rPr>
              <w:t>六、严禁设备设施带病运行和未经审批停用报警联锁系统。</w:t>
            </w:r>
          </w:p>
        </w:tc>
        <w:tc>
          <w:tcPr>
            <w:tcW w:w="1777" w:type="dxa"/>
            <w:vMerge w:val="continue"/>
            <w:vAlign w:val="center"/>
          </w:tcPr>
          <w:p w14:paraId="24004166">
            <w:pPr>
              <w:adjustRightInd w:val="0"/>
              <w:spacing w:line="280" w:lineRule="exact"/>
              <w:jc w:val="center"/>
              <w:rPr>
                <w:rFonts w:ascii="宋体" w:hAnsi="宋体" w:cs="宋体"/>
                <w:szCs w:val="21"/>
              </w:rPr>
            </w:pPr>
          </w:p>
        </w:tc>
        <w:tc>
          <w:tcPr>
            <w:tcW w:w="2127" w:type="dxa"/>
            <w:vAlign w:val="center"/>
          </w:tcPr>
          <w:p w14:paraId="5174390A">
            <w:pPr>
              <w:adjustRightInd w:val="0"/>
              <w:spacing w:line="280" w:lineRule="exact"/>
              <w:rPr>
                <w:rFonts w:ascii="宋体" w:hAnsi="宋体" w:cs="宋体"/>
                <w:szCs w:val="21"/>
              </w:rPr>
            </w:pPr>
            <w:r>
              <w:rPr>
                <w:rFonts w:hint="eastAsia" w:ascii="宋体" w:hAnsi="宋体" w:cs="宋体"/>
                <w:szCs w:val="21"/>
              </w:rPr>
              <w:t>现场检查时未发现带病运行的设备。</w:t>
            </w:r>
          </w:p>
        </w:tc>
        <w:tc>
          <w:tcPr>
            <w:tcW w:w="659" w:type="dxa"/>
            <w:vAlign w:val="center"/>
          </w:tcPr>
          <w:p w14:paraId="6EB228BA">
            <w:pPr>
              <w:adjustRightInd w:val="0"/>
              <w:spacing w:line="280" w:lineRule="exact"/>
              <w:jc w:val="center"/>
              <w:rPr>
                <w:rFonts w:ascii="宋体" w:hAnsi="宋体" w:cs="宋体"/>
                <w:szCs w:val="21"/>
              </w:rPr>
            </w:pPr>
            <w:r>
              <w:rPr>
                <w:rFonts w:hint="eastAsia" w:ascii="宋体" w:hAnsi="宋体" w:cs="宋体"/>
                <w:szCs w:val="21"/>
              </w:rPr>
              <w:t>符合</w:t>
            </w:r>
          </w:p>
        </w:tc>
      </w:tr>
      <w:tr w14:paraId="2963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CA30EF6">
            <w:pPr>
              <w:adjustRightInd w:val="0"/>
              <w:spacing w:line="280" w:lineRule="exact"/>
              <w:jc w:val="center"/>
              <w:rPr>
                <w:rFonts w:ascii="宋体" w:hAnsi="宋体" w:cs="宋体"/>
                <w:szCs w:val="21"/>
              </w:rPr>
            </w:pPr>
          </w:p>
        </w:tc>
        <w:tc>
          <w:tcPr>
            <w:tcW w:w="3323" w:type="dxa"/>
            <w:vAlign w:val="center"/>
          </w:tcPr>
          <w:p w14:paraId="745273E0">
            <w:pPr>
              <w:adjustRightInd w:val="0"/>
              <w:spacing w:line="280" w:lineRule="exact"/>
              <w:rPr>
                <w:rFonts w:ascii="宋体" w:hAnsi="宋体" w:cs="宋体"/>
                <w:szCs w:val="21"/>
              </w:rPr>
            </w:pPr>
            <w:r>
              <w:rPr>
                <w:rFonts w:hint="eastAsia" w:ascii="宋体" w:hAnsi="宋体" w:cs="宋体"/>
                <w:szCs w:val="21"/>
              </w:rPr>
              <w:t>七、严禁可燃和有毒气体泄漏等报警系统处于非正常状态。</w:t>
            </w:r>
          </w:p>
        </w:tc>
        <w:tc>
          <w:tcPr>
            <w:tcW w:w="1777" w:type="dxa"/>
            <w:vMerge w:val="continue"/>
            <w:vAlign w:val="center"/>
          </w:tcPr>
          <w:p w14:paraId="1A0E814B">
            <w:pPr>
              <w:adjustRightInd w:val="0"/>
              <w:spacing w:line="280" w:lineRule="exact"/>
              <w:jc w:val="center"/>
              <w:rPr>
                <w:rFonts w:ascii="宋体" w:hAnsi="宋体" w:cs="宋体"/>
                <w:szCs w:val="21"/>
              </w:rPr>
            </w:pPr>
          </w:p>
        </w:tc>
        <w:tc>
          <w:tcPr>
            <w:tcW w:w="2127" w:type="dxa"/>
            <w:vAlign w:val="center"/>
          </w:tcPr>
          <w:p w14:paraId="103B2DD1">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52C3A13A">
            <w:pPr>
              <w:adjustRightInd w:val="0"/>
              <w:spacing w:line="280" w:lineRule="exact"/>
              <w:jc w:val="center"/>
              <w:rPr>
                <w:rFonts w:ascii="宋体" w:hAnsi="宋体" w:cs="宋体"/>
                <w:szCs w:val="21"/>
              </w:rPr>
            </w:pPr>
            <w:r>
              <w:rPr>
                <w:rFonts w:hint="eastAsia" w:ascii="宋体" w:hAnsi="宋体" w:cs="宋体"/>
                <w:szCs w:val="21"/>
              </w:rPr>
              <w:t>/</w:t>
            </w:r>
          </w:p>
        </w:tc>
      </w:tr>
      <w:tr w14:paraId="3257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2272EA">
            <w:pPr>
              <w:adjustRightInd w:val="0"/>
              <w:spacing w:line="280" w:lineRule="exact"/>
              <w:jc w:val="center"/>
              <w:rPr>
                <w:rFonts w:ascii="宋体" w:hAnsi="宋体" w:cs="宋体"/>
                <w:szCs w:val="21"/>
              </w:rPr>
            </w:pPr>
          </w:p>
        </w:tc>
        <w:tc>
          <w:tcPr>
            <w:tcW w:w="3323" w:type="dxa"/>
            <w:vAlign w:val="center"/>
          </w:tcPr>
          <w:p w14:paraId="7882EE54">
            <w:pPr>
              <w:adjustRightInd w:val="0"/>
              <w:spacing w:line="280" w:lineRule="exact"/>
              <w:rPr>
                <w:rFonts w:ascii="宋体" w:hAnsi="宋体" w:cs="宋体"/>
                <w:szCs w:val="21"/>
              </w:rPr>
            </w:pPr>
            <w:r>
              <w:rPr>
                <w:rFonts w:hint="eastAsia" w:ascii="宋体" w:hAnsi="宋体" w:cs="宋体"/>
                <w:szCs w:val="21"/>
              </w:rPr>
              <w:t>八、严禁未经审批进行动火、进入受限空间、高处、吊装、临时用电、动土、检维修、盲板抽堵等作业。</w:t>
            </w:r>
          </w:p>
        </w:tc>
        <w:tc>
          <w:tcPr>
            <w:tcW w:w="1777" w:type="dxa"/>
            <w:vMerge w:val="continue"/>
            <w:vAlign w:val="center"/>
          </w:tcPr>
          <w:p w14:paraId="610B1BFF">
            <w:pPr>
              <w:adjustRightInd w:val="0"/>
              <w:spacing w:line="280" w:lineRule="exact"/>
              <w:jc w:val="center"/>
              <w:rPr>
                <w:rFonts w:ascii="宋体" w:hAnsi="宋体" w:cs="宋体"/>
                <w:szCs w:val="21"/>
              </w:rPr>
            </w:pPr>
          </w:p>
        </w:tc>
        <w:tc>
          <w:tcPr>
            <w:tcW w:w="2127" w:type="dxa"/>
            <w:vAlign w:val="center"/>
          </w:tcPr>
          <w:p w14:paraId="52C57528">
            <w:pPr>
              <w:adjustRightInd w:val="0"/>
              <w:spacing w:line="280" w:lineRule="exact"/>
              <w:rPr>
                <w:rFonts w:ascii="宋体" w:hAnsi="宋体" w:cs="宋体"/>
                <w:szCs w:val="21"/>
              </w:rPr>
            </w:pPr>
            <w:r>
              <w:rPr>
                <w:rFonts w:hint="eastAsia" w:ascii="宋体" w:hAnsi="宋体" w:cs="宋体"/>
                <w:szCs w:val="21"/>
              </w:rPr>
              <w:t>委托作业，有特种作业管理制度。</w:t>
            </w:r>
          </w:p>
        </w:tc>
        <w:tc>
          <w:tcPr>
            <w:tcW w:w="659" w:type="dxa"/>
            <w:vAlign w:val="center"/>
          </w:tcPr>
          <w:p w14:paraId="6FF9B849">
            <w:pPr>
              <w:adjustRightInd w:val="0"/>
              <w:spacing w:line="280" w:lineRule="exact"/>
              <w:jc w:val="center"/>
              <w:rPr>
                <w:rFonts w:ascii="宋体" w:hAnsi="宋体" w:cs="宋体"/>
                <w:szCs w:val="21"/>
              </w:rPr>
            </w:pPr>
            <w:r>
              <w:rPr>
                <w:rFonts w:hint="eastAsia" w:ascii="宋体" w:hAnsi="宋体" w:cs="宋体"/>
                <w:szCs w:val="21"/>
              </w:rPr>
              <w:t>符合</w:t>
            </w:r>
          </w:p>
        </w:tc>
      </w:tr>
      <w:tr w14:paraId="56F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C8B0AAD">
            <w:pPr>
              <w:adjustRightInd w:val="0"/>
              <w:spacing w:line="280" w:lineRule="exact"/>
              <w:jc w:val="center"/>
              <w:rPr>
                <w:rFonts w:ascii="宋体" w:hAnsi="宋体" w:cs="宋体"/>
                <w:szCs w:val="21"/>
              </w:rPr>
            </w:pPr>
          </w:p>
        </w:tc>
        <w:tc>
          <w:tcPr>
            <w:tcW w:w="3323" w:type="dxa"/>
            <w:vAlign w:val="center"/>
          </w:tcPr>
          <w:p w14:paraId="49AA4B93">
            <w:pPr>
              <w:adjustRightInd w:val="0"/>
              <w:spacing w:line="280" w:lineRule="exact"/>
              <w:rPr>
                <w:rFonts w:ascii="宋体" w:hAnsi="宋体" w:cs="宋体"/>
                <w:szCs w:val="21"/>
              </w:rPr>
            </w:pPr>
            <w:r>
              <w:rPr>
                <w:rFonts w:hint="eastAsia" w:ascii="宋体" w:hAnsi="宋体" w:cs="宋体"/>
                <w:szCs w:val="21"/>
              </w:rPr>
              <w:t>九、严禁违章指挥和强令他人冒险作业。</w:t>
            </w:r>
          </w:p>
        </w:tc>
        <w:tc>
          <w:tcPr>
            <w:tcW w:w="1777" w:type="dxa"/>
            <w:vMerge w:val="continue"/>
            <w:vAlign w:val="center"/>
          </w:tcPr>
          <w:p w14:paraId="54A70744">
            <w:pPr>
              <w:adjustRightInd w:val="0"/>
              <w:spacing w:line="280" w:lineRule="exact"/>
              <w:jc w:val="center"/>
              <w:rPr>
                <w:rFonts w:ascii="宋体" w:hAnsi="宋体" w:cs="宋体"/>
                <w:szCs w:val="21"/>
              </w:rPr>
            </w:pPr>
          </w:p>
        </w:tc>
        <w:tc>
          <w:tcPr>
            <w:tcW w:w="2127" w:type="dxa"/>
            <w:vAlign w:val="center"/>
          </w:tcPr>
          <w:p w14:paraId="71C5099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69E1EA3">
            <w:pPr>
              <w:adjustRightInd w:val="0"/>
              <w:spacing w:line="280" w:lineRule="exact"/>
              <w:jc w:val="center"/>
              <w:rPr>
                <w:rFonts w:ascii="宋体" w:hAnsi="宋体" w:cs="宋体"/>
                <w:szCs w:val="21"/>
              </w:rPr>
            </w:pPr>
            <w:r>
              <w:rPr>
                <w:rFonts w:hint="eastAsia" w:ascii="宋体" w:hAnsi="宋体" w:cs="宋体"/>
                <w:szCs w:val="21"/>
              </w:rPr>
              <w:t>符合</w:t>
            </w:r>
          </w:p>
        </w:tc>
      </w:tr>
      <w:tr w14:paraId="3CEA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017BCF3">
            <w:pPr>
              <w:adjustRightInd w:val="0"/>
              <w:spacing w:line="280" w:lineRule="exact"/>
              <w:jc w:val="center"/>
              <w:rPr>
                <w:rFonts w:ascii="宋体" w:hAnsi="宋体" w:cs="宋体"/>
                <w:szCs w:val="21"/>
              </w:rPr>
            </w:pPr>
          </w:p>
        </w:tc>
        <w:tc>
          <w:tcPr>
            <w:tcW w:w="3323" w:type="dxa"/>
            <w:vAlign w:val="center"/>
          </w:tcPr>
          <w:p w14:paraId="039D40DB">
            <w:pPr>
              <w:adjustRightInd w:val="0"/>
              <w:spacing w:line="280" w:lineRule="exact"/>
              <w:rPr>
                <w:rFonts w:ascii="宋体" w:hAnsi="宋体" w:cs="宋体"/>
                <w:szCs w:val="21"/>
              </w:rPr>
            </w:pPr>
            <w:r>
              <w:rPr>
                <w:rFonts w:hint="eastAsia" w:ascii="宋体" w:hAnsi="宋体" w:cs="宋体"/>
                <w:szCs w:val="21"/>
              </w:rPr>
              <w:t>十、严禁违章作业、脱岗和在岗做与工作无关的事。</w:t>
            </w:r>
          </w:p>
        </w:tc>
        <w:tc>
          <w:tcPr>
            <w:tcW w:w="1777" w:type="dxa"/>
            <w:vMerge w:val="continue"/>
            <w:vAlign w:val="center"/>
          </w:tcPr>
          <w:p w14:paraId="090064A6">
            <w:pPr>
              <w:adjustRightInd w:val="0"/>
              <w:spacing w:line="280" w:lineRule="exact"/>
              <w:jc w:val="center"/>
              <w:rPr>
                <w:rFonts w:ascii="宋体" w:hAnsi="宋体" w:cs="宋体"/>
                <w:szCs w:val="21"/>
              </w:rPr>
            </w:pPr>
          </w:p>
        </w:tc>
        <w:tc>
          <w:tcPr>
            <w:tcW w:w="2127" w:type="dxa"/>
            <w:vAlign w:val="center"/>
          </w:tcPr>
          <w:p w14:paraId="02AE075F">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42AA5CB">
            <w:pPr>
              <w:adjustRightInd w:val="0"/>
              <w:spacing w:line="280" w:lineRule="exact"/>
              <w:jc w:val="center"/>
              <w:rPr>
                <w:rFonts w:ascii="宋体" w:hAnsi="宋体" w:cs="宋体"/>
                <w:szCs w:val="21"/>
              </w:rPr>
            </w:pPr>
            <w:r>
              <w:rPr>
                <w:rFonts w:hint="eastAsia" w:ascii="宋体" w:hAnsi="宋体" w:cs="宋体"/>
                <w:szCs w:val="21"/>
              </w:rPr>
              <w:t>符合</w:t>
            </w:r>
          </w:p>
        </w:tc>
      </w:tr>
      <w:tr w14:paraId="0B88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F26491A">
            <w:pPr>
              <w:numPr>
                <w:ilvl w:val="0"/>
                <w:numId w:val="9"/>
              </w:numPr>
              <w:adjustRightInd w:val="0"/>
              <w:spacing w:line="280" w:lineRule="exact"/>
              <w:jc w:val="center"/>
              <w:rPr>
                <w:rFonts w:ascii="宋体" w:hAnsi="宋体" w:cs="宋体"/>
                <w:szCs w:val="21"/>
              </w:rPr>
            </w:pPr>
          </w:p>
        </w:tc>
        <w:tc>
          <w:tcPr>
            <w:tcW w:w="3323" w:type="dxa"/>
            <w:vAlign w:val="center"/>
          </w:tcPr>
          <w:p w14:paraId="46CFB0CE">
            <w:pPr>
              <w:adjustRightInd w:val="0"/>
              <w:spacing w:line="280" w:lineRule="exact"/>
              <w:rPr>
                <w:rFonts w:ascii="宋体" w:hAnsi="宋体" w:cs="宋体"/>
                <w:szCs w:val="21"/>
              </w:rPr>
            </w:pPr>
            <w:r>
              <w:rPr>
                <w:rFonts w:hint="eastAsia" w:ascii="宋体" w:hAnsi="宋体" w:cs="宋体"/>
                <w:szCs w:val="21"/>
              </w:rPr>
              <w:t>一、严禁油气储罐超温、超压、超液位操作和随意变更储存介质。</w:t>
            </w:r>
          </w:p>
        </w:tc>
        <w:tc>
          <w:tcPr>
            <w:tcW w:w="1777" w:type="dxa"/>
            <w:vMerge w:val="restart"/>
            <w:vAlign w:val="center"/>
          </w:tcPr>
          <w:p w14:paraId="6ABD0C5B">
            <w:pPr>
              <w:adjustRightInd w:val="0"/>
              <w:spacing w:line="280" w:lineRule="exact"/>
              <w:jc w:val="center"/>
              <w:rPr>
                <w:rFonts w:ascii="宋体" w:hAnsi="宋体" w:cs="宋体"/>
                <w:szCs w:val="21"/>
              </w:rPr>
            </w:pPr>
            <w:r>
              <w:rPr>
                <w:rFonts w:hint="eastAsia" w:ascii="宋体" w:hAnsi="宋体" w:cs="宋体"/>
                <w:szCs w:val="21"/>
              </w:rPr>
              <w:t>《油气罐区防火防爆十条规定》（安监总政法﹝2017﹞15号）</w:t>
            </w:r>
          </w:p>
        </w:tc>
        <w:tc>
          <w:tcPr>
            <w:tcW w:w="2127" w:type="dxa"/>
            <w:vAlign w:val="center"/>
          </w:tcPr>
          <w:p w14:paraId="6A715965">
            <w:pPr>
              <w:adjustRightInd w:val="0"/>
              <w:spacing w:line="280" w:lineRule="exact"/>
              <w:rPr>
                <w:rFonts w:ascii="宋体" w:hAnsi="宋体" w:cs="宋体"/>
                <w:szCs w:val="21"/>
              </w:rPr>
            </w:pPr>
            <w:r>
              <w:rPr>
                <w:rFonts w:hint="eastAsia" w:ascii="宋体" w:hAnsi="宋体" w:cs="宋体"/>
                <w:szCs w:val="21"/>
              </w:rPr>
              <w:t>未超液位操作和随意变更储存介质。</w:t>
            </w:r>
          </w:p>
        </w:tc>
        <w:tc>
          <w:tcPr>
            <w:tcW w:w="659" w:type="dxa"/>
            <w:vAlign w:val="center"/>
          </w:tcPr>
          <w:p w14:paraId="64E3ABAD">
            <w:pPr>
              <w:adjustRightInd w:val="0"/>
              <w:spacing w:line="280" w:lineRule="exact"/>
              <w:jc w:val="center"/>
              <w:rPr>
                <w:rFonts w:ascii="宋体" w:hAnsi="宋体" w:cs="宋体"/>
                <w:szCs w:val="21"/>
              </w:rPr>
            </w:pPr>
            <w:r>
              <w:rPr>
                <w:rFonts w:hint="eastAsia" w:ascii="宋体" w:hAnsi="宋体" w:cs="宋体"/>
                <w:szCs w:val="21"/>
              </w:rPr>
              <w:t>符合</w:t>
            </w:r>
          </w:p>
        </w:tc>
      </w:tr>
      <w:tr w14:paraId="60E8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84496A">
            <w:pPr>
              <w:adjustRightInd w:val="0"/>
              <w:spacing w:line="280" w:lineRule="exact"/>
              <w:jc w:val="center"/>
              <w:rPr>
                <w:rFonts w:ascii="宋体" w:hAnsi="宋体" w:cs="宋体"/>
                <w:szCs w:val="21"/>
              </w:rPr>
            </w:pPr>
          </w:p>
        </w:tc>
        <w:tc>
          <w:tcPr>
            <w:tcW w:w="3323" w:type="dxa"/>
            <w:vAlign w:val="center"/>
          </w:tcPr>
          <w:p w14:paraId="462C50E6">
            <w:pPr>
              <w:adjustRightInd w:val="0"/>
              <w:spacing w:line="280" w:lineRule="exact"/>
              <w:rPr>
                <w:rFonts w:ascii="宋体" w:hAnsi="宋体" w:cs="宋体"/>
                <w:szCs w:val="21"/>
              </w:rPr>
            </w:pPr>
            <w:r>
              <w:rPr>
                <w:rFonts w:hint="eastAsia" w:ascii="宋体" w:hAnsi="宋体" w:cs="宋体"/>
                <w:szCs w:val="21"/>
              </w:rPr>
              <w:t>二、严禁在油气罐区手动切水、切罐、装卸车时作业人员离开现场。</w:t>
            </w:r>
          </w:p>
        </w:tc>
        <w:tc>
          <w:tcPr>
            <w:tcW w:w="1777" w:type="dxa"/>
            <w:vMerge w:val="continue"/>
            <w:vAlign w:val="center"/>
          </w:tcPr>
          <w:p w14:paraId="29BA7960">
            <w:pPr>
              <w:adjustRightInd w:val="0"/>
              <w:spacing w:line="280" w:lineRule="exact"/>
              <w:jc w:val="center"/>
              <w:rPr>
                <w:rFonts w:ascii="宋体" w:hAnsi="宋体" w:cs="宋体"/>
                <w:szCs w:val="21"/>
              </w:rPr>
            </w:pPr>
          </w:p>
        </w:tc>
        <w:tc>
          <w:tcPr>
            <w:tcW w:w="2127" w:type="dxa"/>
            <w:vAlign w:val="center"/>
          </w:tcPr>
          <w:p w14:paraId="7D173F0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498A44AB">
            <w:pPr>
              <w:adjustRightInd w:val="0"/>
              <w:spacing w:line="280" w:lineRule="exact"/>
              <w:jc w:val="center"/>
              <w:rPr>
                <w:rFonts w:ascii="宋体" w:hAnsi="宋体" w:cs="宋体"/>
                <w:szCs w:val="21"/>
              </w:rPr>
            </w:pPr>
            <w:r>
              <w:rPr>
                <w:rFonts w:hint="eastAsia" w:ascii="宋体" w:hAnsi="宋体" w:cs="宋体"/>
                <w:szCs w:val="21"/>
              </w:rPr>
              <w:t>符合</w:t>
            </w:r>
          </w:p>
        </w:tc>
      </w:tr>
      <w:tr w14:paraId="0571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0D7BA30">
            <w:pPr>
              <w:adjustRightInd w:val="0"/>
              <w:spacing w:line="280" w:lineRule="exact"/>
              <w:jc w:val="center"/>
              <w:rPr>
                <w:rFonts w:ascii="宋体" w:hAnsi="宋体" w:cs="宋体"/>
                <w:szCs w:val="21"/>
              </w:rPr>
            </w:pPr>
          </w:p>
        </w:tc>
        <w:tc>
          <w:tcPr>
            <w:tcW w:w="3323" w:type="dxa"/>
            <w:vAlign w:val="center"/>
          </w:tcPr>
          <w:p w14:paraId="37A4067B">
            <w:pPr>
              <w:adjustRightInd w:val="0"/>
              <w:spacing w:line="280" w:lineRule="exact"/>
              <w:rPr>
                <w:rFonts w:ascii="宋体" w:hAnsi="宋体" w:cs="宋体"/>
                <w:szCs w:val="21"/>
              </w:rPr>
            </w:pPr>
            <w:r>
              <w:rPr>
                <w:rFonts w:hint="eastAsia" w:ascii="宋体" w:hAnsi="宋体" w:cs="宋体"/>
                <w:szCs w:val="21"/>
              </w:rPr>
              <w:t>三、严禁关闭在用油气储罐安全阀切断阀和在泄压排放系统加盲板。</w:t>
            </w:r>
          </w:p>
        </w:tc>
        <w:tc>
          <w:tcPr>
            <w:tcW w:w="1777" w:type="dxa"/>
            <w:vMerge w:val="continue"/>
            <w:vAlign w:val="center"/>
          </w:tcPr>
          <w:p w14:paraId="4BB0BF10">
            <w:pPr>
              <w:adjustRightInd w:val="0"/>
              <w:spacing w:line="280" w:lineRule="exact"/>
              <w:jc w:val="center"/>
              <w:rPr>
                <w:rFonts w:ascii="宋体" w:hAnsi="宋体" w:cs="宋体"/>
                <w:szCs w:val="21"/>
              </w:rPr>
            </w:pPr>
          </w:p>
        </w:tc>
        <w:tc>
          <w:tcPr>
            <w:tcW w:w="2127" w:type="dxa"/>
            <w:vAlign w:val="center"/>
          </w:tcPr>
          <w:p w14:paraId="53569F94">
            <w:pPr>
              <w:adjustRightInd w:val="0"/>
              <w:spacing w:line="280" w:lineRule="exact"/>
              <w:rPr>
                <w:rFonts w:ascii="宋体" w:hAnsi="宋体" w:cs="宋体"/>
                <w:szCs w:val="21"/>
              </w:rPr>
            </w:pPr>
            <w:r>
              <w:rPr>
                <w:rFonts w:hint="eastAsia" w:ascii="宋体" w:hAnsi="宋体" w:cs="宋体"/>
                <w:szCs w:val="21"/>
              </w:rPr>
              <w:t>油罐采用通气管</w:t>
            </w:r>
          </w:p>
        </w:tc>
        <w:tc>
          <w:tcPr>
            <w:tcW w:w="659" w:type="dxa"/>
            <w:vAlign w:val="center"/>
          </w:tcPr>
          <w:p w14:paraId="4997795F">
            <w:pPr>
              <w:adjustRightInd w:val="0"/>
              <w:spacing w:line="280" w:lineRule="exact"/>
              <w:jc w:val="center"/>
              <w:rPr>
                <w:rFonts w:ascii="宋体" w:hAnsi="宋体" w:cs="宋体"/>
                <w:szCs w:val="21"/>
              </w:rPr>
            </w:pPr>
            <w:r>
              <w:rPr>
                <w:rFonts w:hint="eastAsia" w:ascii="宋体" w:hAnsi="宋体" w:cs="宋体"/>
                <w:szCs w:val="21"/>
              </w:rPr>
              <w:t>符合</w:t>
            </w:r>
          </w:p>
        </w:tc>
      </w:tr>
      <w:tr w14:paraId="03D3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97F1A8A">
            <w:pPr>
              <w:adjustRightInd w:val="0"/>
              <w:spacing w:line="280" w:lineRule="exact"/>
              <w:jc w:val="center"/>
              <w:rPr>
                <w:rFonts w:ascii="宋体" w:hAnsi="宋体" w:cs="宋体"/>
                <w:szCs w:val="21"/>
              </w:rPr>
            </w:pPr>
          </w:p>
        </w:tc>
        <w:tc>
          <w:tcPr>
            <w:tcW w:w="3323" w:type="dxa"/>
            <w:vAlign w:val="center"/>
          </w:tcPr>
          <w:p w14:paraId="6B879F54">
            <w:pPr>
              <w:adjustRightInd w:val="0"/>
              <w:spacing w:line="280" w:lineRule="exact"/>
              <w:rPr>
                <w:rFonts w:ascii="宋体" w:hAnsi="宋体" w:cs="宋体"/>
                <w:szCs w:val="21"/>
              </w:rPr>
            </w:pPr>
            <w:r>
              <w:rPr>
                <w:rFonts w:hint="eastAsia" w:ascii="宋体" w:hAnsi="宋体" w:cs="宋体"/>
                <w:szCs w:val="21"/>
              </w:rPr>
              <w:t>四、严禁停用油气罐区温度、压力、液位、可燃及有毒气体报警和联锁系统。</w:t>
            </w:r>
          </w:p>
        </w:tc>
        <w:tc>
          <w:tcPr>
            <w:tcW w:w="1777" w:type="dxa"/>
            <w:vMerge w:val="continue"/>
            <w:vAlign w:val="center"/>
          </w:tcPr>
          <w:p w14:paraId="1AF46977">
            <w:pPr>
              <w:adjustRightInd w:val="0"/>
              <w:spacing w:line="280" w:lineRule="exact"/>
              <w:jc w:val="center"/>
              <w:rPr>
                <w:rFonts w:ascii="宋体" w:hAnsi="宋体" w:cs="宋体"/>
                <w:szCs w:val="21"/>
              </w:rPr>
            </w:pPr>
          </w:p>
        </w:tc>
        <w:tc>
          <w:tcPr>
            <w:tcW w:w="2127" w:type="dxa"/>
            <w:vAlign w:val="center"/>
          </w:tcPr>
          <w:p w14:paraId="06F322D8">
            <w:pPr>
              <w:adjustRightInd w:val="0"/>
              <w:spacing w:line="280" w:lineRule="exact"/>
              <w:rPr>
                <w:rFonts w:ascii="宋体" w:hAnsi="宋体" w:cs="宋体"/>
                <w:szCs w:val="21"/>
              </w:rPr>
            </w:pPr>
            <w:r>
              <w:rPr>
                <w:rFonts w:hint="eastAsia" w:ascii="宋体" w:hAnsi="宋体" w:cs="宋体"/>
                <w:szCs w:val="21"/>
              </w:rPr>
              <w:t>油罐液位仪、泄漏仪工作正常。</w:t>
            </w:r>
          </w:p>
        </w:tc>
        <w:tc>
          <w:tcPr>
            <w:tcW w:w="659" w:type="dxa"/>
            <w:vAlign w:val="center"/>
          </w:tcPr>
          <w:p w14:paraId="14AB0979">
            <w:pPr>
              <w:adjustRightInd w:val="0"/>
              <w:spacing w:line="280" w:lineRule="exact"/>
              <w:jc w:val="center"/>
              <w:rPr>
                <w:rFonts w:ascii="宋体" w:hAnsi="宋体" w:cs="宋体"/>
                <w:szCs w:val="21"/>
              </w:rPr>
            </w:pPr>
            <w:r>
              <w:rPr>
                <w:rFonts w:hint="eastAsia" w:ascii="宋体" w:hAnsi="宋体" w:cs="宋体"/>
                <w:szCs w:val="21"/>
              </w:rPr>
              <w:t>/</w:t>
            </w:r>
          </w:p>
        </w:tc>
      </w:tr>
      <w:tr w14:paraId="4AE1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AF7D997">
            <w:pPr>
              <w:adjustRightInd w:val="0"/>
              <w:spacing w:line="280" w:lineRule="exact"/>
              <w:jc w:val="center"/>
              <w:rPr>
                <w:rFonts w:ascii="宋体" w:hAnsi="宋体" w:cs="宋体"/>
                <w:szCs w:val="21"/>
              </w:rPr>
            </w:pPr>
          </w:p>
        </w:tc>
        <w:tc>
          <w:tcPr>
            <w:tcW w:w="3323" w:type="dxa"/>
            <w:vAlign w:val="center"/>
          </w:tcPr>
          <w:p w14:paraId="665CFE6B">
            <w:pPr>
              <w:adjustRightInd w:val="0"/>
              <w:spacing w:line="280" w:lineRule="exact"/>
              <w:rPr>
                <w:rFonts w:ascii="宋体" w:hAnsi="宋体" w:cs="宋体"/>
                <w:szCs w:val="21"/>
              </w:rPr>
            </w:pPr>
            <w:r>
              <w:rPr>
                <w:rFonts w:hint="eastAsia" w:ascii="宋体" w:hAnsi="宋体" w:cs="宋体"/>
                <w:szCs w:val="21"/>
              </w:rPr>
              <w:t>五、严禁未进行气体检测和办理作业许可证，在油气罐区动火或进入受限空间作业。</w:t>
            </w:r>
          </w:p>
        </w:tc>
        <w:tc>
          <w:tcPr>
            <w:tcW w:w="1777" w:type="dxa"/>
            <w:vMerge w:val="continue"/>
            <w:vAlign w:val="center"/>
          </w:tcPr>
          <w:p w14:paraId="6C37DAB3">
            <w:pPr>
              <w:adjustRightInd w:val="0"/>
              <w:spacing w:line="280" w:lineRule="exact"/>
              <w:jc w:val="center"/>
              <w:rPr>
                <w:rFonts w:ascii="宋体" w:hAnsi="宋体" w:cs="宋体"/>
                <w:szCs w:val="21"/>
              </w:rPr>
            </w:pPr>
          </w:p>
        </w:tc>
        <w:tc>
          <w:tcPr>
            <w:tcW w:w="2127" w:type="dxa"/>
            <w:vAlign w:val="center"/>
          </w:tcPr>
          <w:p w14:paraId="052503CF">
            <w:pPr>
              <w:adjustRightInd w:val="0"/>
              <w:spacing w:line="280" w:lineRule="exact"/>
              <w:rPr>
                <w:rFonts w:ascii="宋体" w:hAnsi="宋体" w:cs="宋体"/>
                <w:szCs w:val="21"/>
              </w:rPr>
            </w:pPr>
            <w:r>
              <w:rPr>
                <w:rFonts w:hint="eastAsia" w:ascii="宋体" w:hAnsi="宋体" w:cs="宋体"/>
                <w:szCs w:val="21"/>
              </w:rPr>
              <w:t>外包作业，已建立特殊作业管理制度</w:t>
            </w:r>
          </w:p>
        </w:tc>
        <w:tc>
          <w:tcPr>
            <w:tcW w:w="659" w:type="dxa"/>
            <w:vAlign w:val="center"/>
          </w:tcPr>
          <w:p w14:paraId="75233234">
            <w:pPr>
              <w:adjustRightInd w:val="0"/>
              <w:spacing w:line="280" w:lineRule="exact"/>
              <w:jc w:val="center"/>
              <w:rPr>
                <w:rFonts w:ascii="宋体" w:hAnsi="宋体" w:cs="宋体"/>
                <w:szCs w:val="21"/>
              </w:rPr>
            </w:pPr>
            <w:r>
              <w:rPr>
                <w:rFonts w:hint="eastAsia" w:ascii="宋体" w:hAnsi="宋体" w:cs="宋体"/>
                <w:szCs w:val="21"/>
              </w:rPr>
              <w:t>符合</w:t>
            </w:r>
          </w:p>
        </w:tc>
      </w:tr>
      <w:tr w14:paraId="6FCF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0E827B4">
            <w:pPr>
              <w:adjustRightInd w:val="0"/>
              <w:spacing w:line="280" w:lineRule="exact"/>
              <w:jc w:val="center"/>
              <w:rPr>
                <w:rFonts w:ascii="宋体" w:hAnsi="宋体" w:cs="宋体"/>
                <w:szCs w:val="21"/>
              </w:rPr>
            </w:pPr>
          </w:p>
        </w:tc>
        <w:tc>
          <w:tcPr>
            <w:tcW w:w="3323" w:type="dxa"/>
            <w:vAlign w:val="center"/>
          </w:tcPr>
          <w:p w14:paraId="65C7946C">
            <w:pPr>
              <w:adjustRightInd w:val="0"/>
              <w:spacing w:line="280" w:lineRule="exact"/>
              <w:rPr>
                <w:rFonts w:ascii="宋体" w:hAnsi="宋体" w:cs="宋体"/>
                <w:szCs w:val="21"/>
              </w:rPr>
            </w:pPr>
            <w:r>
              <w:rPr>
                <w:rFonts w:hint="eastAsia" w:ascii="宋体" w:hAnsi="宋体" w:cs="宋体"/>
                <w:szCs w:val="21"/>
              </w:rPr>
              <w:t>六、严禁内浮顶储罐运行中浮盘落底。</w:t>
            </w:r>
          </w:p>
        </w:tc>
        <w:tc>
          <w:tcPr>
            <w:tcW w:w="1777" w:type="dxa"/>
            <w:vMerge w:val="continue"/>
            <w:vAlign w:val="center"/>
          </w:tcPr>
          <w:p w14:paraId="20290F64">
            <w:pPr>
              <w:adjustRightInd w:val="0"/>
              <w:spacing w:line="280" w:lineRule="exact"/>
              <w:jc w:val="center"/>
              <w:rPr>
                <w:rFonts w:ascii="宋体" w:hAnsi="宋体" w:cs="宋体"/>
                <w:szCs w:val="21"/>
              </w:rPr>
            </w:pPr>
          </w:p>
        </w:tc>
        <w:tc>
          <w:tcPr>
            <w:tcW w:w="2127" w:type="dxa"/>
            <w:vAlign w:val="center"/>
          </w:tcPr>
          <w:p w14:paraId="3EA4ED79">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4EA5F1B2">
            <w:pPr>
              <w:adjustRightInd w:val="0"/>
              <w:spacing w:line="280" w:lineRule="exact"/>
              <w:jc w:val="center"/>
              <w:rPr>
                <w:rFonts w:ascii="宋体" w:hAnsi="宋体" w:cs="宋体"/>
                <w:szCs w:val="21"/>
              </w:rPr>
            </w:pPr>
            <w:r>
              <w:rPr>
                <w:rFonts w:hint="eastAsia" w:ascii="宋体" w:hAnsi="宋体" w:cs="宋体"/>
                <w:szCs w:val="21"/>
              </w:rPr>
              <w:t>/</w:t>
            </w:r>
          </w:p>
        </w:tc>
      </w:tr>
      <w:tr w14:paraId="6127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A9CD413">
            <w:pPr>
              <w:adjustRightInd w:val="0"/>
              <w:spacing w:line="280" w:lineRule="exact"/>
              <w:jc w:val="center"/>
              <w:rPr>
                <w:rFonts w:ascii="宋体" w:hAnsi="宋体" w:cs="宋体"/>
                <w:szCs w:val="21"/>
              </w:rPr>
            </w:pPr>
          </w:p>
        </w:tc>
        <w:tc>
          <w:tcPr>
            <w:tcW w:w="3323" w:type="dxa"/>
            <w:vAlign w:val="center"/>
          </w:tcPr>
          <w:p w14:paraId="57C75925">
            <w:pPr>
              <w:adjustRightInd w:val="0"/>
              <w:spacing w:line="280" w:lineRule="exact"/>
              <w:rPr>
                <w:rFonts w:ascii="宋体" w:hAnsi="宋体" w:cs="宋体"/>
                <w:szCs w:val="21"/>
              </w:rPr>
            </w:pPr>
            <w:r>
              <w:rPr>
                <w:rFonts w:hint="eastAsia" w:ascii="宋体" w:hAnsi="宋体" w:cs="宋体"/>
                <w:szCs w:val="21"/>
              </w:rPr>
              <w:t>七、严禁向油气储罐或与储罐连接管道中直接添加性质不明或能发生剧烈反应的物质。</w:t>
            </w:r>
          </w:p>
        </w:tc>
        <w:tc>
          <w:tcPr>
            <w:tcW w:w="1777" w:type="dxa"/>
            <w:vMerge w:val="continue"/>
            <w:vAlign w:val="center"/>
          </w:tcPr>
          <w:p w14:paraId="308A7258">
            <w:pPr>
              <w:adjustRightInd w:val="0"/>
              <w:spacing w:line="280" w:lineRule="exact"/>
              <w:jc w:val="center"/>
              <w:rPr>
                <w:rFonts w:ascii="宋体" w:hAnsi="宋体" w:cs="宋体"/>
                <w:szCs w:val="21"/>
              </w:rPr>
            </w:pPr>
          </w:p>
        </w:tc>
        <w:tc>
          <w:tcPr>
            <w:tcW w:w="2127" w:type="dxa"/>
            <w:vAlign w:val="center"/>
          </w:tcPr>
          <w:p w14:paraId="537E1513">
            <w:pPr>
              <w:adjustRightInd w:val="0"/>
              <w:spacing w:line="280" w:lineRule="exact"/>
              <w:rPr>
                <w:rFonts w:ascii="宋体" w:hAnsi="宋体" w:cs="宋体"/>
                <w:szCs w:val="21"/>
              </w:rPr>
            </w:pPr>
            <w:r>
              <w:rPr>
                <w:rFonts w:hint="eastAsia" w:ascii="宋体" w:hAnsi="宋体" w:cs="宋体"/>
                <w:szCs w:val="21"/>
              </w:rPr>
              <w:t>未发现。</w:t>
            </w:r>
          </w:p>
        </w:tc>
        <w:tc>
          <w:tcPr>
            <w:tcW w:w="659" w:type="dxa"/>
            <w:vAlign w:val="center"/>
          </w:tcPr>
          <w:p w14:paraId="7E9531DE">
            <w:pPr>
              <w:adjustRightInd w:val="0"/>
              <w:spacing w:line="280" w:lineRule="exact"/>
              <w:jc w:val="center"/>
              <w:rPr>
                <w:rFonts w:ascii="宋体" w:hAnsi="宋体" w:cs="宋体"/>
                <w:szCs w:val="21"/>
              </w:rPr>
            </w:pPr>
            <w:r>
              <w:rPr>
                <w:rFonts w:hint="eastAsia" w:ascii="宋体" w:hAnsi="宋体" w:cs="宋体"/>
                <w:szCs w:val="21"/>
              </w:rPr>
              <w:t>符合</w:t>
            </w:r>
          </w:p>
        </w:tc>
      </w:tr>
      <w:tr w14:paraId="63D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7596FE9">
            <w:pPr>
              <w:adjustRightInd w:val="0"/>
              <w:spacing w:line="280" w:lineRule="exact"/>
              <w:jc w:val="center"/>
              <w:rPr>
                <w:rFonts w:ascii="宋体" w:hAnsi="宋体" w:cs="宋体"/>
                <w:szCs w:val="21"/>
              </w:rPr>
            </w:pPr>
          </w:p>
        </w:tc>
        <w:tc>
          <w:tcPr>
            <w:tcW w:w="3323" w:type="dxa"/>
            <w:vAlign w:val="center"/>
          </w:tcPr>
          <w:p w14:paraId="439C758B">
            <w:pPr>
              <w:adjustRightInd w:val="0"/>
              <w:spacing w:line="280" w:lineRule="exact"/>
              <w:rPr>
                <w:rFonts w:ascii="宋体" w:hAnsi="宋体" w:cs="宋体"/>
                <w:szCs w:val="21"/>
              </w:rPr>
            </w:pPr>
            <w:r>
              <w:rPr>
                <w:rFonts w:hint="eastAsia" w:ascii="宋体" w:hAnsi="宋体" w:cs="宋体"/>
                <w:szCs w:val="21"/>
              </w:rPr>
              <w:t>八、严禁在油气罐区使用非防爆照明、电气设施、工器具和电子器材。</w:t>
            </w:r>
          </w:p>
        </w:tc>
        <w:tc>
          <w:tcPr>
            <w:tcW w:w="1777" w:type="dxa"/>
            <w:vMerge w:val="continue"/>
            <w:vAlign w:val="center"/>
          </w:tcPr>
          <w:p w14:paraId="0FD241F5">
            <w:pPr>
              <w:adjustRightInd w:val="0"/>
              <w:spacing w:line="280" w:lineRule="exact"/>
              <w:jc w:val="center"/>
              <w:rPr>
                <w:rFonts w:ascii="宋体" w:hAnsi="宋体" w:cs="宋体"/>
                <w:szCs w:val="21"/>
              </w:rPr>
            </w:pPr>
          </w:p>
        </w:tc>
        <w:tc>
          <w:tcPr>
            <w:tcW w:w="2127" w:type="dxa"/>
            <w:vAlign w:val="center"/>
          </w:tcPr>
          <w:p w14:paraId="4A9FEF1B">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17C8A06D">
            <w:pPr>
              <w:adjustRightInd w:val="0"/>
              <w:spacing w:line="280" w:lineRule="exact"/>
              <w:jc w:val="center"/>
              <w:rPr>
                <w:rFonts w:ascii="宋体" w:hAnsi="宋体" w:cs="宋体"/>
                <w:szCs w:val="21"/>
              </w:rPr>
            </w:pPr>
            <w:r>
              <w:rPr>
                <w:rFonts w:hint="eastAsia" w:ascii="宋体" w:hAnsi="宋体" w:cs="宋体"/>
                <w:szCs w:val="21"/>
              </w:rPr>
              <w:t>符合</w:t>
            </w:r>
          </w:p>
        </w:tc>
      </w:tr>
      <w:tr w14:paraId="648D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26AC52A8">
            <w:pPr>
              <w:adjustRightInd w:val="0"/>
              <w:spacing w:line="280" w:lineRule="exact"/>
              <w:jc w:val="center"/>
              <w:rPr>
                <w:rFonts w:ascii="宋体" w:hAnsi="宋体" w:cs="宋体"/>
                <w:szCs w:val="21"/>
              </w:rPr>
            </w:pPr>
          </w:p>
        </w:tc>
        <w:tc>
          <w:tcPr>
            <w:tcW w:w="3323" w:type="dxa"/>
            <w:vAlign w:val="center"/>
          </w:tcPr>
          <w:p w14:paraId="3DA66FDB">
            <w:pPr>
              <w:adjustRightInd w:val="0"/>
              <w:spacing w:line="280" w:lineRule="exact"/>
              <w:rPr>
                <w:rFonts w:ascii="宋体" w:hAnsi="宋体" w:cs="宋体"/>
                <w:szCs w:val="21"/>
              </w:rPr>
            </w:pPr>
            <w:r>
              <w:rPr>
                <w:rFonts w:hint="eastAsia" w:ascii="宋体" w:hAnsi="宋体" w:cs="宋体"/>
                <w:szCs w:val="21"/>
              </w:rPr>
              <w:t>九、严禁培训不合格人员和无相关资质承包商进入油气罐区作业，未经许可机动车辆及外来人员不得进入罐区。</w:t>
            </w:r>
          </w:p>
        </w:tc>
        <w:tc>
          <w:tcPr>
            <w:tcW w:w="1777" w:type="dxa"/>
            <w:vMerge w:val="continue"/>
            <w:vAlign w:val="center"/>
          </w:tcPr>
          <w:p w14:paraId="5E5CF89C">
            <w:pPr>
              <w:adjustRightInd w:val="0"/>
              <w:spacing w:line="280" w:lineRule="exact"/>
              <w:jc w:val="center"/>
              <w:rPr>
                <w:rFonts w:ascii="宋体" w:hAnsi="宋体" w:cs="宋体"/>
                <w:szCs w:val="21"/>
              </w:rPr>
            </w:pPr>
          </w:p>
        </w:tc>
        <w:tc>
          <w:tcPr>
            <w:tcW w:w="2127" w:type="dxa"/>
            <w:vAlign w:val="center"/>
          </w:tcPr>
          <w:p w14:paraId="7B424EB6">
            <w:pPr>
              <w:adjustRightInd w:val="0"/>
              <w:spacing w:line="280" w:lineRule="exact"/>
              <w:rPr>
                <w:rFonts w:ascii="宋体" w:hAnsi="宋体" w:cs="宋体"/>
                <w:szCs w:val="21"/>
              </w:rPr>
            </w:pPr>
            <w:r>
              <w:rPr>
                <w:rFonts w:hint="eastAsia" w:ascii="宋体" w:hAnsi="宋体" w:cs="宋体"/>
                <w:szCs w:val="21"/>
              </w:rPr>
              <w:t>无关人员禁止进入罐区。</w:t>
            </w:r>
          </w:p>
        </w:tc>
        <w:tc>
          <w:tcPr>
            <w:tcW w:w="659" w:type="dxa"/>
            <w:vAlign w:val="center"/>
          </w:tcPr>
          <w:p w14:paraId="68C859EB">
            <w:pPr>
              <w:adjustRightInd w:val="0"/>
              <w:spacing w:line="280" w:lineRule="exact"/>
              <w:jc w:val="center"/>
              <w:rPr>
                <w:rFonts w:ascii="宋体" w:hAnsi="宋体" w:cs="宋体"/>
                <w:szCs w:val="21"/>
              </w:rPr>
            </w:pPr>
            <w:r>
              <w:rPr>
                <w:rFonts w:hint="eastAsia" w:ascii="宋体" w:hAnsi="宋体" w:cs="宋体"/>
                <w:szCs w:val="21"/>
              </w:rPr>
              <w:t>符合</w:t>
            </w:r>
          </w:p>
        </w:tc>
      </w:tr>
      <w:tr w14:paraId="1117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69C0E822">
            <w:pPr>
              <w:adjustRightInd w:val="0"/>
              <w:spacing w:line="280" w:lineRule="exact"/>
              <w:jc w:val="center"/>
              <w:rPr>
                <w:rFonts w:ascii="宋体" w:hAnsi="宋体" w:cs="宋体"/>
                <w:szCs w:val="21"/>
              </w:rPr>
            </w:pPr>
          </w:p>
        </w:tc>
        <w:tc>
          <w:tcPr>
            <w:tcW w:w="3323" w:type="dxa"/>
            <w:vAlign w:val="center"/>
          </w:tcPr>
          <w:p w14:paraId="2924D475">
            <w:pPr>
              <w:adjustRightInd w:val="0"/>
              <w:spacing w:line="280" w:lineRule="exact"/>
              <w:rPr>
                <w:rFonts w:ascii="宋体" w:hAnsi="宋体" w:cs="宋体"/>
                <w:szCs w:val="21"/>
              </w:rPr>
            </w:pPr>
            <w:r>
              <w:rPr>
                <w:rFonts w:hint="eastAsia" w:ascii="宋体" w:hAnsi="宋体" w:cs="宋体"/>
                <w:szCs w:val="21"/>
              </w:rPr>
              <w:t>十、严禁油气罐区设备设施不完好或带病运行。</w:t>
            </w:r>
          </w:p>
        </w:tc>
        <w:tc>
          <w:tcPr>
            <w:tcW w:w="1777" w:type="dxa"/>
            <w:vMerge w:val="continue"/>
            <w:vAlign w:val="center"/>
          </w:tcPr>
          <w:p w14:paraId="5B47027B">
            <w:pPr>
              <w:adjustRightInd w:val="0"/>
              <w:spacing w:line="280" w:lineRule="exact"/>
              <w:jc w:val="center"/>
              <w:rPr>
                <w:rFonts w:ascii="宋体" w:hAnsi="宋体" w:cs="宋体"/>
                <w:szCs w:val="21"/>
              </w:rPr>
            </w:pPr>
          </w:p>
        </w:tc>
        <w:tc>
          <w:tcPr>
            <w:tcW w:w="2127" w:type="dxa"/>
            <w:vAlign w:val="center"/>
          </w:tcPr>
          <w:p w14:paraId="04D48161">
            <w:pPr>
              <w:adjustRightInd w:val="0"/>
              <w:spacing w:line="280" w:lineRule="exact"/>
              <w:rPr>
                <w:rFonts w:ascii="宋体" w:hAnsi="宋体" w:cs="宋体"/>
                <w:szCs w:val="21"/>
              </w:rPr>
            </w:pPr>
            <w:r>
              <w:rPr>
                <w:rFonts w:hint="eastAsia" w:ascii="宋体" w:hAnsi="宋体" w:cs="宋体"/>
                <w:szCs w:val="21"/>
              </w:rPr>
              <w:t>未发现罐区设备设施有不完好或带病运行的现象。</w:t>
            </w:r>
          </w:p>
        </w:tc>
        <w:tc>
          <w:tcPr>
            <w:tcW w:w="659" w:type="dxa"/>
            <w:vAlign w:val="center"/>
          </w:tcPr>
          <w:p w14:paraId="60E0B48D">
            <w:pPr>
              <w:adjustRightInd w:val="0"/>
              <w:spacing w:line="280" w:lineRule="exact"/>
              <w:jc w:val="center"/>
              <w:rPr>
                <w:rFonts w:ascii="宋体" w:hAnsi="宋体" w:cs="宋体"/>
                <w:szCs w:val="21"/>
              </w:rPr>
            </w:pPr>
            <w:r>
              <w:rPr>
                <w:rFonts w:hint="eastAsia" w:ascii="宋体" w:hAnsi="宋体" w:cs="宋体"/>
                <w:szCs w:val="21"/>
              </w:rPr>
              <w:t>符合</w:t>
            </w:r>
          </w:p>
        </w:tc>
      </w:tr>
    </w:tbl>
    <w:p w14:paraId="5158189C">
      <w:pPr>
        <w:pStyle w:val="4"/>
        <w:spacing w:afterLines="100" w:line="500" w:lineRule="exact"/>
        <w:rPr>
          <w:rFonts w:ascii="黑体" w:hAnsi="宋体"/>
          <w:kern w:val="3"/>
          <w:sz w:val="28"/>
          <w:szCs w:val="28"/>
        </w:rPr>
      </w:pPr>
      <w:bookmarkStart w:id="474" w:name="_Toc71894956"/>
      <w:bookmarkStart w:id="475" w:name="_Toc46241228"/>
      <w:r>
        <w:rPr>
          <w:rFonts w:ascii="黑体" w:hAnsi="宋体"/>
          <w:kern w:val="3"/>
          <w:sz w:val="28"/>
          <w:szCs w:val="28"/>
        </w:rPr>
        <w:t>6.6</w:t>
      </w:r>
      <w:r>
        <w:rPr>
          <w:rFonts w:hint="eastAsia" w:ascii="黑体" w:hAnsi="宋体"/>
          <w:kern w:val="3"/>
          <w:sz w:val="28"/>
          <w:szCs w:val="28"/>
        </w:rPr>
        <w:t>.2小节</w:t>
      </w:r>
      <w:bookmarkEnd w:id="474"/>
      <w:bookmarkEnd w:id="475"/>
    </w:p>
    <w:p w14:paraId="2247AC27">
      <w:pPr>
        <w:adjustRightInd w:val="0"/>
        <w:snapToGrid w:val="0"/>
        <w:spacing w:line="500" w:lineRule="exact"/>
        <w:ind w:firstLine="560" w:firstLineChars="200"/>
        <w:rPr>
          <w:sz w:val="28"/>
          <w:szCs w:val="28"/>
        </w:rPr>
      </w:pPr>
      <w:r>
        <w:rPr>
          <w:rFonts w:hint="eastAsia"/>
          <w:sz w:val="28"/>
          <w:szCs w:val="28"/>
        </w:rPr>
        <w:t>经现场检查，该加油站已编制了安全管理制度、责任制和操作规程，加油站主要负责人和安全员已培训，取得安全合格证书，特殊作业委托外包，企业编制的生产安全事故应急预案并备案。从业人员在加油操作时穿戴劳动防护用品。本单元具备安全经营管理的基本条件。</w:t>
      </w:r>
    </w:p>
    <w:p w14:paraId="65E79817">
      <w:pPr>
        <w:pStyle w:val="4"/>
        <w:spacing w:afterLines="100" w:line="500" w:lineRule="exact"/>
        <w:jc w:val="center"/>
        <w:rPr>
          <w:rFonts w:ascii="楷体_GB2312" w:hAnsi="宋体" w:eastAsia="楷体_GB2312"/>
          <w:kern w:val="3"/>
        </w:rPr>
      </w:pPr>
      <w:bookmarkStart w:id="476" w:name="_Toc46241229"/>
      <w:bookmarkStart w:id="477" w:name="_Toc71894957"/>
      <w:r>
        <w:rPr>
          <w:rFonts w:ascii="楷体_GB2312" w:hAnsi="宋体" w:eastAsia="楷体_GB2312"/>
          <w:kern w:val="3"/>
        </w:rPr>
        <w:t>6.7</w:t>
      </w:r>
      <w:r>
        <w:rPr>
          <w:rFonts w:hint="eastAsia" w:ascii="楷体_GB2312" w:hAnsi="宋体" w:eastAsia="楷体_GB2312"/>
          <w:kern w:val="3"/>
        </w:rPr>
        <w:t>重大隐患判定及安全经营条件单元</w:t>
      </w:r>
      <w:bookmarkEnd w:id="476"/>
      <w:bookmarkEnd w:id="477"/>
    </w:p>
    <w:p w14:paraId="06D68CA1">
      <w:pPr>
        <w:pStyle w:val="4"/>
        <w:spacing w:afterLines="100" w:line="500" w:lineRule="exact"/>
        <w:rPr>
          <w:rFonts w:ascii="黑体" w:hAnsi="宋体"/>
          <w:kern w:val="3"/>
          <w:sz w:val="28"/>
          <w:szCs w:val="28"/>
        </w:rPr>
      </w:pPr>
      <w:bookmarkStart w:id="478" w:name="_Toc71894958"/>
      <w:r>
        <w:rPr>
          <w:rFonts w:ascii="黑体" w:hAnsi="宋体"/>
          <w:kern w:val="3"/>
          <w:sz w:val="28"/>
          <w:szCs w:val="28"/>
        </w:rPr>
        <w:t>6.7.1</w:t>
      </w:r>
      <w:r>
        <w:rPr>
          <w:rFonts w:hint="eastAsia" w:ascii="黑体" w:hAnsi="宋体"/>
          <w:kern w:val="3"/>
          <w:sz w:val="28"/>
          <w:szCs w:val="28"/>
        </w:rPr>
        <w:t>安全经营条件及重大生产安全事故隐患检查</w:t>
      </w:r>
      <w:bookmarkEnd w:id="478"/>
    </w:p>
    <w:p w14:paraId="75746901">
      <w:pPr>
        <w:snapToGrid w:val="0"/>
        <w:spacing w:line="500" w:lineRule="exact"/>
        <w:ind w:firstLine="560" w:firstLineChars="200"/>
        <w:rPr>
          <w:rFonts w:ascii="宋体" w:hAnsi="宋体" w:cs="宋体"/>
          <w:b/>
          <w:bCs/>
          <w:szCs w:val="21"/>
        </w:rPr>
      </w:pPr>
      <w:r>
        <w:rPr>
          <w:rFonts w:hint="eastAsia"/>
          <w:sz w:val="28"/>
          <w:szCs w:val="28"/>
        </w:rPr>
        <w:t>本单元主要依据《危险化学品经营许可证管理办法》（国家安全生产监督管理总局令第55号）、《云南省安全生产监督管理局关于危险化学品经营行政许可有关事项的通知》（云安监管〔2013〕13号）及《化工和危险化学品生产经营单位重大生产安全事故隐患判定标准（试行）》（安监总管三〔2017〕121号）编制安全检查表进行评价。</w:t>
      </w:r>
      <w:r>
        <w:rPr>
          <w:rFonts w:hint="eastAsia" w:ascii="宋体" w:hAnsi="宋体" w:cs="宋体"/>
          <w:sz w:val="28"/>
          <w:szCs w:val="28"/>
        </w:rPr>
        <w:t>对照检查该加油站安全经营条件是否符合要求，是否存在重大生产安全事故隐患。</w:t>
      </w:r>
    </w:p>
    <w:p w14:paraId="6E32E77D">
      <w:pPr>
        <w:jc w:val="center"/>
        <w:rPr>
          <w:rFonts w:ascii="宋体" w:hAnsi="宋体"/>
          <w:bCs/>
          <w:sz w:val="28"/>
          <w:szCs w:val="28"/>
        </w:rPr>
      </w:pPr>
      <w:r>
        <w:rPr>
          <w:rFonts w:hint="eastAsia" w:ascii="宋体" w:hAnsi="宋体"/>
          <w:bCs/>
          <w:sz w:val="28"/>
          <w:szCs w:val="28"/>
        </w:rPr>
        <w:t>表6-10安全经营条件及重大生产安全事故隐患检查表</w:t>
      </w:r>
    </w:p>
    <w:tbl>
      <w:tblPr>
        <w:tblStyle w:val="33"/>
        <w:tblW w:w="910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6"/>
        <w:gridCol w:w="3581"/>
        <w:gridCol w:w="1843"/>
        <w:gridCol w:w="2468"/>
        <w:gridCol w:w="720"/>
      </w:tblGrid>
      <w:tr w14:paraId="40FDA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trPr>
        <w:tc>
          <w:tcPr>
            <w:tcW w:w="496" w:type="dxa"/>
            <w:vAlign w:val="center"/>
          </w:tcPr>
          <w:p w14:paraId="25E95471">
            <w:pPr>
              <w:jc w:val="center"/>
              <w:rPr>
                <w:rFonts w:ascii="宋体" w:hAnsi="宋体" w:cs="宋体"/>
                <w:b/>
                <w:bCs/>
                <w:szCs w:val="21"/>
              </w:rPr>
            </w:pPr>
            <w:r>
              <w:rPr>
                <w:rFonts w:hint="eastAsia" w:ascii="宋体" w:hAnsi="宋体" w:cs="宋体"/>
                <w:b/>
                <w:bCs/>
                <w:szCs w:val="21"/>
              </w:rPr>
              <w:t>序号</w:t>
            </w:r>
          </w:p>
        </w:tc>
        <w:tc>
          <w:tcPr>
            <w:tcW w:w="3581" w:type="dxa"/>
            <w:vAlign w:val="center"/>
          </w:tcPr>
          <w:p w14:paraId="775751C1">
            <w:pPr>
              <w:jc w:val="center"/>
              <w:rPr>
                <w:rFonts w:ascii="宋体" w:hAnsi="宋体" w:cs="宋体"/>
                <w:b/>
                <w:bCs/>
                <w:szCs w:val="21"/>
              </w:rPr>
            </w:pPr>
            <w:r>
              <w:rPr>
                <w:rFonts w:hint="eastAsia" w:ascii="宋体" w:hAnsi="宋体" w:cs="宋体"/>
                <w:b/>
                <w:bCs/>
                <w:szCs w:val="21"/>
              </w:rPr>
              <w:t>检查内容</w:t>
            </w:r>
          </w:p>
        </w:tc>
        <w:tc>
          <w:tcPr>
            <w:tcW w:w="1843" w:type="dxa"/>
            <w:vAlign w:val="center"/>
          </w:tcPr>
          <w:p w14:paraId="1C515285">
            <w:pPr>
              <w:jc w:val="center"/>
              <w:rPr>
                <w:rFonts w:ascii="宋体" w:hAnsi="宋体" w:cs="宋体"/>
                <w:b/>
                <w:bCs/>
                <w:szCs w:val="21"/>
              </w:rPr>
            </w:pPr>
            <w:r>
              <w:rPr>
                <w:rFonts w:hint="eastAsia" w:ascii="宋体" w:hAnsi="宋体" w:cs="宋体"/>
                <w:b/>
                <w:bCs/>
                <w:szCs w:val="21"/>
              </w:rPr>
              <w:t>检查依据</w:t>
            </w:r>
          </w:p>
        </w:tc>
        <w:tc>
          <w:tcPr>
            <w:tcW w:w="2468" w:type="dxa"/>
            <w:vAlign w:val="center"/>
          </w:tcPr>
          <w:p w14:paraId="4AEC3D8F">
            <w:pPr>
              <w:jc w:val="center"/>
              <w:rPr>
                <w:rFonts w:ascii="宋体" w:hAnsi="宋体" w:cs="宋体"/>
                <w:b/>
                <w:bCs/>
                <w:szCs w:val="21"/>
              </w:rPr>
            </w:pPr>
            <w:r>
              <w:rPr>
                <w:rFonts w:hint="eastAsia" w:ascii="宋体" w:hAnsi="宋体" w:cs="宋体"/>
                <w:b/>
                <w:bCs/>
                <w:szCs w:val="21"/>
              </w:rPr>
              <w:t>检查记录</w:t>
            </w:r>
          </w:p>
        </w:tc>
        <w:tc>
          <w:tcPr>
            <w:tcW w:w="720" w:type="dxa"/>
            <w:vAlign w:val="center"/>
          </w:tcPr>
          <w:p w14:paraId="64AEB946">
            <w:pPr>
              <w:jc w:val="center"/>
              <w:rPr>
                <w:rFonts w:ascii="宋体" w:hAnsi="宋体" w:cs="宋体"/>
                <w:b/>
                <w:bCs/>
                <w:szCs w:val="21"/>
              </w:rPr>
            </w:pPr>
            <w:r>
              <w:rPr>
                <w:rFonts w:hint="eastAsia" w:ascii="宋体" w:hAnsi="宋体" w:cs="宋体"/>
                <w:b/>
                <w:bCs/>
                <w:szCs w:val="21"/>
              </w:rPr>
              <w:t>结论</w:t>
            </w:r>
          </w:p>
        </w:tc>
      </w:tr>
      <w:tr w14:paraId="55621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B4C181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w:t>
            </w:r>
          </w:p>
        </w:tc>
        <w:tc>
          <w:tcPr>
            <w:tcW w:w="3581" w:type="dxa"/>
            <w:vAlign w:val="center"/>
          </w:tcPr>
          <w:p w14:paraId="240867C2">
            <w:pPr>
              <w:rPr>
                <w:rFonts w:ascii="宋体" w:hAnsi="宋体" w:cs="宋体"/>
                <w:szCs w:val="21"/>
              </w:rPr>
            </w:pPr>
            <w:r>
              <w:rPr>
                <w:rFonts w:hint="eastAsia" w:ascii="宋体" w:hAnsi="宋体" w:cs="宋体"/>
                <w:szCs w:val="21"/>
              </w:rPr>
              <w:t>危险化学品生产、经营单位主要负责人和安全生产管理人员未依法经考核合格。</w:t>
            </w:r>
          </w:p>
        </w:tc>
        <w:tc>
          <w:tcPr>
            <w:tcW w:w="1843" w:type="dxa"/>
            <w:vMerge w:val="restart"/>
            <w:vAlign w:val="center"/>
          </w:tcPr>
          <w:p w14:paraId="0256D88F">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《化工和危险化学品生产经营单位重大生产安全事故隐患判定标准（试行）》</w:t>
            </w:r>
          </w:p>
        </w:tc>
        <w:tc>
          <w:tcPr>
            <w:tcW w:w="2468" w:type="dxa"/>
            <w:vAlign w:val="center"/>
          </w:tcPr>
          <w:p w14:paraId="72577A4B">
            <w:pPr>
              <w:rPr>
                <w:rFonts w:ascii="宋体" w:hAnsi="宋体" w:cs="宋体"/>
                <w:szCs w:val="21"/>
              </w:rPr>
            </w:pPr>
            <w:r>
              <w:rPr>
                <w:rFonts w:hint="eastAsia" w:ascii="宋体" w:hAnsi="宋体" w:cs="宋体"/>
                <w:szCs w:val="21"/>
              </w:rPr>
              <w:t>主要负责人和安全管理人员经培训经考核合格。</w:t>
            </w:r>
          </w:p>
        </w:tc>
        <w:tc>
          <w:tcPr>
            <w:tcW w:w="720" w:type="dxa"/>
            <w:vAlign w:val="center"/>
          </w:tcPr>
          <w:p w14:paraId="281832B7">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75FDE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37FF1C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p>
        </w:tc>
        <w:tc>
          <w:tcPr>
            <w:tcW w:w="3581" w:type="dxa"/>
            <w:vAlign w:val="center"/>
          </w:tcPr>
          <w:p w14:paraId="676781C8">
            <w:pPr>
              <w:rPr>
                <w:rFonts w:ascii="宋体" w:hAnsi="宋体" w:cs="宋体"/>
                <w:szCs w:val="21"/>
              </w:rPr>
            </w:pPr>
            <w:r>
              <w:rPr>
                <w:rFonts w:hint="eastAsia" w:ascii="宋体" w:hAnsi="宋体" w:cs="宋体"/>
                <w:szCs w:val="21"/>
              </w:rPr>
              <w:t>特种作业人员未持证上岗。</w:t>
            </w:r>
          </w:p>
        </w:tc>
        <w:tc>
          <w:tcPr>
            <w:tcW w:w="1843" w:type="dxa"/>
            <w:vMerge w:val="continue"/>
            <w:vAlign w:val="center"/>
          </w:tcPr>
          <w:p w14:paraId="31F0058D">
            <w:pPr>
              <w:pStyle w:val="57"/>
              <w:spacing w:line="240" w:lineRule="auto"/>
              <w:ind w:firstLine="0" w:firstLineChars="0"/>
              <w:rPr>
                <w:rFonts w:ascii="宋体" w:hAnsi="宋体" w:eastAsia="宋体" w:cs="宋体"/>
                <w:sz w:val="21"/>
                <w:szCs w:val="21"/>
              </w:rPr>
            </w:pPr>
          </w:p>
        </w:tc>
        <w:tc>
          <w:tcPr>
            <w:tcW w:w="2468" w:type="dxa"/>
            <w:vAlign w:val="center"/>
          </w:tcPr>
          <w:p w14:paraId="06515386">
            <w:pPr>
              <w:rPr>
                <w:rFonts w:ascii="宋体" w:hAnsi="宋体" w:cs="宋体"/>
                <w:szCs w:val="21"/>
              </w:rPr>
            </w:pPr>
            <w:r>
              <w:rPr>
                <w:rFonts w:hint="eastAsia" w:ascii="宋体" w:hAnsi="宋体" w:cs="宋体"/>
                <w:szCs w:val="21"/>
              </w:rPr>
              <w:t>该加油站特种作业涉及检修是电工、焊工等作业，特种作业均委托具有资质的单位或人员施工。</w:t>
            </w:r>
          </w:p>
        </w:tc>
        <w:tc>
          <w:tcPr>
            <w:tcW w:w="720" w:type="dxa"/>
            <w:vAlign w:val="center"/>
          </w:tcPr>
          <w:p w14:paraId="15928D48">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B8118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541433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3</w:t>
            </w:r>
          </w:p>
        </w:tc>
        <w:tc>
          <w:tcPr>
            <w:tcW w:w="3581" w:type="dxa"/>
            <w:vAlign w:val="center"/>
          </w:tcPr>
          <w:p w14:paraId="248101CF">
            <w:pPr>
              <w:rPr>
                <w:rFonts w:ascii="宋体" w:hAnsi="宋体" w:cs="宋体"/>
                <w:szCs w:val="21"/>
              </w:rPr>
            </w:pPr>
            <w:r>
              <w:rPr>
                <w:rFonts w:hint="eastAsia" w:ascii="宋体" w:hAnsi="宋体" w:cs="宋体"/>
                <w:szCs w:val="21"/>
              </w:rPr>
              <w:t>涉及“两重点一重大”的生产装置、储存设施外部安全防护距离不符合国家标准要求。</w:t>
            </w:r>
          </w:p>
        </w:tc>
        <w:tc>
          <w:tcPr>
            <w:tcW w:w="1843" w:type="dxa"/>
            <w:vMerge w:val="continue"/>
            <w:vAlign w:val="center"/>
          </w:tcPr>
          <w:p w14:paraId="6F55F548">
            <w:pPr>
              <w:pStyle w:val="57"/>
              <w:spacing w:line="240" w:lineRule="auto"/>
              <w:ind w:firstLine="0" w:firstLineChars="0"/>
              <w:rPr>
                <w:rFonts w:ascii="宋体" w:hAnsi="宋体" w:eastAsia="宋体" w:cs="宋体"/>
                <w:sz w:val="21"/>
                <w:szCs w:val="21"/>
              </w:rPr>
            </w:pPr>
          </w:p>
        </w:tc>
        <w:tc>
          <w:tcPr>
            <w:tcW w:w="2468" w:type="dxa"/>
            <w:vAlign w:val="center"/>
          </w:tcPr>
          <w:p w14:paraId="743E0FDF">
            <w:pPr>
              <w:jc w:val="center"/>
              <w:rPr>
                <w:rFonts w:ascii="宋体" w:hAnsi="宋体" w:cs="宋体"/>
                <w:szCs w:val="21"/>
              </w:rPr>
            </w:pPr>
            <w:r>
              <w:rPr>
                <w:rFonts w:hint="eastAsia" w:ascii="宋体" w:hAnsi="宋体" w:cs="宋体"/>
                <w:szCs w:val="21"/>
              </w:rPr>
              <w:t>不涉及。</w:t>
            </w:r>
          </w:p>
        </w:tc>
        <w:tc>
          <w:tcPr>
            <w:tcW w:w="720" w:type="dxa"/>
            <w:vAlign w:val="center"/>
          </w:tcPr>
          <w:p w14:paraId="2FA8FDB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07EC83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953C21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4</w:t>
            </w:r>
          </w:p>
        </w:tc>
        <w:tc>
          <w:tcPr>
            <w:tcW w:w="3581" w:type="dxa"/>
            <w:vAlign w:val="center"/>
          </w:tcPr>
          <w:p w14:paraId="0B3E90AB">
            <w:pPr>
              <w:rPr>
                <w:rFonts w:ascii="宋体" w:hAnsi="宋体" w:cs="宋体"/>
                <w:szCs w:val="21"/>
              </w:rPr>
            </w:pPr>
            <w:r>
              <w:rPr>
                <w:rFonts w:hint="eastAsia" w:ascii="宋体" w:hAnsi="宋体" w:cs="宋体"/>
                <w:szCs w:val="21"/>
              </w:rPr>
              <w:t>涉及重点监管危险化工工艺的装置未实现自动化控制，系统未实现紧急停车功能，装备的自动化控制系统、紧急停车系统未投入使用。</w:t>
            </w:r>
          </w:p>
        </w:tc>
        <w:tc>
          <w:tcPr>
            <w:tcW w:w="1843" w:type="dxa"/>
            <w:vMerge w:val="continue"/>
            <w:vAlign w:val="center"/>
          </w:tcPr>
          <w:p w14:paraId="4EB94E25">
            <w:pPr>
              <w:pStyle w:val="57"/>
              <w:spacing w:line="240" w:lineRule="auto"/>
              <w:ind w:firstLine="0" w:firstLineChars="0"/>
              <w:rPr>
                <w:rFonts w:ascii="宋体" w:hAnsi="宋体" w:eastAsia="宋体" w:cs="宋体"/>
                <w:sz w:val="21"/>
                <w:szCs w:val="21"/>
              </w:rPr>
            </w:pPr>
          </w:p>
        </w:tc>
        <w:tc>
          <w:tcPr>
            <w:tcW w:w="2468" w:type="dxa"/>
            <w:vAlign w:val="center"/>
          </w:tcPr>
          <w:p w14:paraId="0F47325C">
            <w:pPr>
              <w:jc w:val="center"/>
              <w:rPr>
                <w:rFonts w:ascii="宋体" w:hAnsi="宋体" w:cs="宋体"/>
                <w:szCs w:val="21"/>
              </w:rPr>
            </w:pPr>
            <w:r>
              <w:rPr>
                <w:rFonts w:hint="eastAsia" w:ascii="宋体" w:hAnsi="宋体" w:cs="宋体"/>
                <w:szCs w:val="21"/>
              </w:rPr>
              <w:t>不涉及。</w:t>
            </w:r>
          </w:p>
        </w:tc>
        <w:tc>
          <w:tcPr>
            <w:tcW w:w="720" w:type="dxa"/>
            <w:vAlign w:val="center"/>
          </w:tcPr>
          <w:p w14:paraId="4EE41A6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70B437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4FB742B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5</w:t>
            </w:r>
          </w:p>
        </w:tc>
        <w:tc>
          <w:tcPr>
            <w:tcW w:w="3581" w:type="dxa"/>
            <w:vAlign w:val="center"/>
          </w:tcPr>
          <w:p w14:paraId="2A91EE7B">
            <w:pPr>
              <w:rPr>
                <w:rFonts w:ascii="宋体" w:hAnsi="宋体" w:cs="宋体"/>
                <w:szCs w:val="21"/>
              </w:rPr>
            </w:pPr>
            <w:r>
              <w:rPr>
                <w:rFonts w:hint="eastAsia" w:ascii="宋体" w:hAnsi="宋体" w:cs="宋体"/>
                <w:szCs w:val="21"/>
              </w:rPr>
              <w:t>构成一级、二级重大危险源的危险化学品罐区未实现紧急切断功能；涉及毒性气体、液化气体、剧毒液体的一级、二级重大危险源的危险化学品罐区未配备独立的安全仪表系统。</w:t>
            </w:r>
          </w:p>
          <w:p w14:paraId="0AEE8FB6">
            <w:pPr>
              <w:rPr>
                <w:rFonts w:ascii="宋体" w:hAnsi="宋体" w:cs="宋体"/>
                <w:szCs w:val="21"/>
              </w:rPr>
            </w:pPr>
          </w:p>
        </w:tc>
        <w:tc>
          <w:tcPr>
            <w:tcW w:w="1843" w:type="dxa"/>
            <w:vMerge w:val="continue"/>
            <w:vAlign w:val="center"/>
          </w:tcPr>
          <w:p w14:paraId="7CBD4B07">
            <w:pPr>
              <w:pStyle w:val="57"/>
              <w:spacing w:line="240" w:lineRule="auto"/>
              <w:ind w:firstLine="0" w:firstLineChars="0"/>
              <w:rPr>
                <w:rFonts w:ascii="宋体" w:hAnsi="宋体" w:eastAsia="宋体" w:cs="宋体"/>
                <w:sz w:val="21"/>
                <w:szCs w:val="21"/>
              </w:rPr>
            </w:pPr>
          </w:p>
        </w:tc>
        <w:tc>
          <w:tcPr>
            <w:tcW w:w="2468" w:type="dxa"/>
            <w:vAlign w:val="center"/>
          </w:tcPr>
          <w:p w14:paraId="2BE96533">
            <w:pPr>
              <w:jc w:val="center"/>
              <w:rPr>
                <w:rFonts w:ascii="宋体" w:hAnsi="宋体" w:cs="宋体"/>
                <w:szCs w:val="21"/>
              </w:rPr>
            </w:pPr>
            <w:r>
              <w:rPr>
                <w:rFonts w:hint="eastAsia" w:ascii="宋体" w:hAnsi="宋体" w:cs="宋体"/>
                <w:szCs w:val="21"/>
              </w:rPr>
              <w:t>不构成重大危险源</w:t>
            </w:r>
          </w:p>
        </w:tc>
        <w:tc>
          <w:tcPr>
            <w:tcW w:w="720" w:type="dxa"/>
            <w:vAlign w:val="center"/>
          </w:tcPr>
          <w:p w14:paraId="2C8F39C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185C04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331C8E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6</w:t>
            </w:r>
          </w:p>
        </w:tc>
        <w:tc>
          <w:tcPr>
            <w:tcW w:w="3581" w:type="dxa"/>
            <w:vAlign w:val="center"/>
          </w:tcPr>
          <w:p w14:paraId="16CF43F9">
            <w:pPr>
              <w:rPr>
                <w:rFonts w:ascii="宋体" w:hAnsi="宋体" w:cs="宋体"/>
                <w:szCs w:val="21"/>
              </w:rPr>
            </w:pPr>
            <w:r>
              <w:rPr>
                <w:rFonts w:hint="eastAsia" w:ascii="宋体" w:hAnsi="宋体" w:cs="宋体"/>
                <w:szCs w:val="21"/>
              </w:rPr>
              <w:t>全压力式液化烃储罐未按国家标准设置注水措施。</w:t>
            </w:r>
          </w:p>
        </w:tc>
        <w:tc>
          <w:tcPr>
            <w:tcW w:w="1843" w:type="dxa"/>
            <w:vMerge w:val="continue"/>
            <w:vAlign w:val="center"/>
          </w:tcPr>
          <w:p w14:paraId="05C06395">
            <w:pPr>
              <w:pStyle w:val="57"/>
              <w:spacing w:line="240" w:lineRule="auto"/>
              <w:ind w:firstLine="0" w:firstLineChars="0"/>
              <w:rPr>
                <w:rFonts w:ascii="宋体" w:hAnsi="宋体" w:eastAsia="宋体" w:cs="宋体"/>
                <w:sz w:val="21"/>
                <w:szCs w:val="21"/>
              </w:rPr>
            </w:pPr>
          </w:p>
        </w:tc>
        <w:tc>
          <w:tcPr>
            <w:tcW w:w="2468" w:type="dxa"/>
            <w:vAlign w:val="center"/>
          </w:tcPr>
          <w:p w14:paraId="04EBFC23">
            <w:pPr>
              <w:jc w:val="center"/>
              <w:rPr>
                <w:rFonts w:ascii="宋体" w:hAnsi="宋体" w:cs="宋体"/>
                <w:szCs w:val="21"/>
              </w:rPr>
            </w:pPr>
            <w:r>
              <w:rPr>
                <w:rFonts w:hint="eastAsia" w:ascii="宋体" w:hAnsi="宋体" w:cs="宋体"/>
                <w:szCs w:val="21"/>
              </w:rPr>
              <w:t>不涉及。</w:t>
            </w:r>
          </w:p>
        </w:tc>
        <w:tc>
          <w:tcPr>
            <w:tcW w:w="720" w:type="dxa"/>
            <w:vAlign w:val="center"/>
          </w:tcPr>
          <w:p w14:paraId="73B61C3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64C447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97FFE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7</w:t>
            </w:r>
          </w:p>
        </w:tc>
        <w:tc>
          <w:tcPr>
            <w:tcW w:w="3581" w:type="dxa"/>
            <w:vAlign w:val="center"/>
          </w:tcPr>
          <w:p w14:paraId="526DCCC7">
            <w:pPr>
              <w:rPr>
                <w:rFonts w:ascii="宋体" w:hAnsi="宋体" w:cs="宋体"/>
                <w:szCs w:val="21"/>
              </w:rPr>
            </w:pPr>
            <w:r>
              <w:rPr>
                <w:rFonts w:hint="eastAsia" w:ascii="宋体" w:hAnsi="宋体" w:cs="宋体"/>
                <w:szCs w:val="21"/>
              </w:rPr>
              <w:t>液化烃、液氨、液氯等易燃易爆、有毒有害液化气体的充装未使用万向管道充装系统。</w:t>
            </w:r>
          </w:p>
        </w:tc>
        <w:tc>
          <w:tcPr>
            <w:tcW w:w="1843" w:type="dxa"/>
            <w:vMerge w:val="continue"/>
            <w:vAlign w:val="center"/>
          </w:tcPr>
          <w:p w14:paraId="14982E67">
            <w:pPr>
              <w:pStyle w:val="57"/>
              <w:spacing w:line="240" w:lineRule="auto"/>
              <w:ind w:firstLine="0" w:firstLineChars="0"/>
              <w:rPr>
                <w:rFonts w:ascii="宋体" w:hAnsi="宋体" w:eastAsia="宋体" w:cs="宋体"/>
                <w:sz w:val="21"/>
                <w:szCs w:val="21"/>
              </w:rPr>
            </w:pPr>
          </w:p>
        </w:tc>
        <w:tc>
          <w:tcPr>
            <w:tcW w:w="2468" w:type="dxa"/>
            <w:vAlign w:val="center"/>
          </w:tcPr>
          <w:p w14:paraId="6A3B9CFA">
            <w:pPr>
              <w:jc w:val="center"/>
              <w:rPr>
                <w:rFonts w:ascii="宋体" w:hAnsi="宋体" w:cs="宋体"/>
                <w:szCs w:val="21"/>
              </w:rPr>
            </w:pPr>
            <w:r>
              <w:rPr>
                <w:rFonts w:hint="eastAsia" w:ascii="宋体" w:hAnsi="宋体" w:cs="宋体"/>
                <w:szCs w:val="21"/>
              </w:rPr>
              <w:t>不涉及。</w:t>
            </w:r>
          </w:p>
        </w:tc>
        <w:tc>
          <w:tcPr>
            <w:tcW w:w="720" w:type="dxa"/>
            <w:vAlign w:val="center"/>
          </w:tcPr>
          <w:p w14:paraId="4B1B1F6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2BB8E2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677F35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8</w:t>
            </w:r>
          </w:p>
        </w:tc>
        <w:tc>
          <w:tcPr>
            <w:tcW w:w="3581" w:type="dxa"/>
            <w:vAlign w:val="center"/>
          </w:tcPr>
          <w:p w14:paraId="4A969F0F">
            <w:pPr>
              <w:rPr>
                <w:rFonts w:ascii="宋体" w:hAnsi="宋体" w:cs="宋体"/>
                <w:szCs w:val="21"/>
              </w:rPr>
            </w:pPr>
            <w:r>
              <w:rPr>
                <w:rFonts w:hint="eastAsia" w:ascii="宋体" w:hAnsi="宋体" w:cs="宋体"/>
                <w:szCs w:val="21"/>
              </w:rPr>
              <w:t>光气、氯气等剧毒气体及硫化氢气体管道穿越除厂区(包括化工园区、工业园区）外的公共区域。</w:t>
            </w:r>
          </w:p>
        </w:tc>
        <w:tc>
          <w:tcPr>
            <w:tcW w:w="1843" w:type="dxa"/>
            <w:vMerge w:val="continue"/>
            <w:vAlign w:val="center"/>
          </w:tcPr>
          <w:p w14:paraId="7F7866F8">
            <w:pPr>
              <w:pStyle w:val="57"/>
              <w:spacing w:line="240" w:lineRule="auto"/>
              <w:ind w:firstLine="0" w:firstLineChars="0"/>
              <w:rPr>
                <w:rFonts w:ascii="宋体" w:hAnsi="宋体" w:eastAsia="宋体" w:cs="宋体"/>
                <w:sz w:val="21"/>
                <w:szCs w:val="21"/>
              </w:rPr>
            </w:pPr>
          </w:p>
        </w:tc>
        <w:tc>
          <w:tcPr>
            <w:tcW w:w="2468" w:type="dxa"/>
            <w:vAlign w:val="center"/>
          </w:tcPr>
          <w:p w14:paraId="35A172A1">
            <w:pPr>
              <w:jc w:val="center"/>
              <w:rPr>
                <w:rFonts w:ascii="宋体" w:hAnsi="宋体" w:cs="宋体"/>
                <w:szCs w:val="21"/>
              </w:rPr>
            </w:pPr>
            <w:r>
              <w:rPr>
                <w:rFonts w:hint="eastAsia" w:ascii="宋体" w:hAnsi="宋体" w:cs="宋体"/>
                <w:szCs w:val="21"/>
              </w:rPr>
              <w:t>不涉及。</w:t>
            </w:r>
          </w:p>
        </w:tc>
        <w:tc>
          <w:tcPr>
            <w:tcW w:w="720" w:type="dxa"/>
            <w:vAlign w:val="center"/>
          </w:tcPr>
          <w:p w14:paraId="092694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50BF5C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458A55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9</w:t>
            </w:r>
          </w:p>
        </w:tc>
        <w:tc>
          <w:tcPr>
            <w:tcW w:w="3581" w:type="dxa"/>
            <w:vAlign w:val="center"/>
          </w:tcPr>
          <w:p w14:paraId="7F70B363">
            <w:pPr>
              <w:rPr>
                <w:rFonts w:ascii="宋体" w:hAnsi="宋体" w:cs="宋体"/>
                <w:szCs w:val="21"/>
              </w:rPr>
            </w:pPr>
            <w:r>
              <w:rPr>
                <w:rFonts w:hint="eastAsia" w:ascii="宋体" w:hAnsi="宋体" w:cs="宋体"/>
                <w:szCs w:val="21"/>
              </w:rPr>
              <w:t>地区架空电力线路穿越生产区且不符合国家标准要求。</w:t>
            </w:r>
          </w:p>
        </w:tc>
        <w:tc>
          <w:tcPr>
            <w:tcW w:w="1843" w:type="dxa"/>
            <w:vMerge w:val="continue"/>
            <w:vAlign w:val="center"/>
          </w:tcPr>
          <w:p w14:paraId="30F216A6">
            <w:pPr>
              <w:pStyle w:val="57"/>
              <w:spacing w:line="240" w:lineRule="auto"/>
              <w:ind w:firstLine="0" w:firstLineChars="0"/>
              <w:rPr>
                <w:rFonts w:ascii="宋体" w:hAnsi="宋体" w:eastAsia="宋体" w:cs="宋体"/>
                <w:sz w:val="21"/>
                <w:szCs w:val="21"/>
              </w:rPr>
            </w:pPr>
          </w:p>
        </w:tc>
        <w:tc>
          <w:tcPr>
            <w:tcW w:w="2468" w:type="dxa"/>
            <w:vAlign w:val="center"/>
          </w:tcPr>
          <w:p w14:paraId="6DC9047D">
            <w:pPr>
              <w:rPr>
                <w:rFonts w:ascii="宋体" w:hAnsi="宋体" w:cs="宋体"/>
                <w:szCs w:val="21"/>
              </w:rPr>
            </w:pPr>
            <w:r>
              <w:rPr>
                <w:rFonts w:hint="eastAsia" w:ascii="宋体" w:hAnsi="宋体" w:cs="宋体"/>
                <w:szCs w:val="21"/>
              </w:rPr>
              <w:t>架空电力线路未穿越加油站加油区。</w:t>
            </w:r>
          </w:p>
        </w:tc>
        <w:tc>
          <w:tcPr>
            <w:tcW w:w="720" w:type="dxa"/>
            <w:vAlign w:val="center"/>
          </w:tcPr>
          <w:p w14:paraId="59D2C5B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8045F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858F7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10</w:t>
            </w:r>
          </w:p>
        </w:tc>
        <w:tc>
          <w:tcPr>
            <w:tcW w:w="3581" w:type="dxa"/>
            <w:vAlign w:val="center"/>
          </w:tcPr>
          <w:p w14:paraId="7B95BFCC">
            <w:pPr>
              <w:rPr>
                <w:rFonts w:ascii="宋体" w:hAnsi="宋体" w:cs="宋体"/>
                <w:szCs w:val="21"/>
              </w:rPr>
            </w:pPr>
            <w:r>
              <w:rPr>
                <w:rFonts w:hint="eastAsia" w:ascii="宋体" w:hAnsi="宋体" w:cs="宋体"/>
                <w:szCs w:val="21"/>
              </w:rPr>
              <w:t>在役化工装置未经正规设计且未进行安全设计诊断。</w:t>
            </w:r>
          </w:p>
        </w:tc>
        <w:tc>
          <w:tcPr>
            <w:tcW w:w="1843" w:type="dxa"/>
            <w:vMerge w:val="continue"/>
            <w:vAlign w:val="center"/>
          </w:tcPr>
          <w:p w14:paraId="78E2DE28">
            <w:pPr>
              <w:pStyle w:val="57"/>
              <w:spacing w:line="240" w:lineRule="auto"/>
              <w:ind w:firstLine="0" w:firstLineChars="0"/>
              <w:rPr>
                <w:rFonts w:ascii="宋体" w:hAnsi="宋体" w:eastAsia="宋体" w:cs="宋体"/>
                <w:sz w:val="21"/>
                <w:szCs w:val="21"/>
              </w:rPr>
            </w:pPr>
          </w:p>
        </w:tc>
        <w:tc>
          <w:tcPr>
            <w:tcW w:w="2468" w:type="dxa"/>
            <w:vAlign w:val="center"/>
          </w:tcPr>
          <w:p w14:paraId="6B0CE105">
            <w:pPr>
              <w:rPr>
                <w:rFonts w:ascii="宋体" w:hAnsi="宋体" w:cs="宋体"/>
                <w:szCs w:val="21"/>
              </w:rPr>
            </w:pPr>
            <w:r>
              <w:rPr>
                <w:rFonts w:hint="eastAsia" w:ascii="宋体" w:hAnsi="宋体" w:cs="宋体"/>
                <w:szCs w:val="21"/>
              </w:rPr>
              <w:t>加油站建站时通过有资质的设计单位进行设计。</w:t>
            </w:r>
          </w:p>
        </w:tc>
        <w:tc>
          <w:tcPr>
            <w:tcW w:w="720" w:type="dxa"/>
            <w:vAlign w:val="center"/>
          </w:tcPr>
          <w:p w14:paraId="7854616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830F0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A782E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11</w:t>
            </w:r>
          </w:p>
        </w:tc>
        <w:tc>
          <w:tcPr>
            <w:tcW w:w="3581" w:type="dxa"/>
            <w:vAlign w:val="center"/>
          </w:tcPr>
          <w:p w14:paraId="67A25EBB">
            <w:pPr>
              <w:rPr>
                <w:rFonts w:ascii="宋体" w:hAnsi="宋体" w:cs="宋体"/>
                <w:szCs w:val="21"/>
              </w:rPr>
            </w:pPr>
            <w:r>
              <w:rPr>
                <w:rFonts w:hint="eastAsia" w:ascii="宋体" w:hAnsi="宋体" w:cs="宋体"/>
                <w:szCs w:val="21"/>
              </w:rPr>
              <w:t>使用淘汰落后安全技术工艺、设备目录列出的工艺、设备。</w:t>
            </w:r>
          </w:p>
        </w:tc>
        <w:tc>
          <w:tcPr>
            <w:tcW w:w="1843" w:type="dxa"/>
            <w:vMerge w:val="continue"/>
            <w:vAlign w:val="center"/>
          </w:tcPr>
          <w:p w14:paraId="1121A5CE">
            <w:pPr>
              <w:pStyle w:val="57"/>
              <w:spacing w:line="240" w:lineRule="auto"/>
              <w:ind w:firstLine="0" w:firstLineChars="0"/>
              <w:rPr>
                <w:rFonts w:ascii="宋体" w:hAnsi="宋体" w:eastAsia="宋体" w:cs="宋体"/>
                <w:sz w:val="21"/>
                <w:szCs w:val="21"/>
              </w:rPr>
            </w:pPr>
          </w:p>
        </w:tc>
        <w:tc>
          <w:tcPr>
            <w:tcW w:w="2468" w:type="dxa"/>
            <w:vAlign w:val="center"/>
          </w:tcPr>
          <w:p w14:paraId="66F15A8E">
            <w:pPr>
              <w:rPr>
                <w:rFonts w:ascii="宋体" w:hAnsi="宋体" w:cs="宋体"/>
                <w:szCs w:val="21"/>
              </w:rPr>
            </w:pPr>
            <w:r>
              <w:rPr>
                <w:rFonts w:hint="eastAsia" w:ascii="宋体" w:hAnsi="宋体" w:cs="宋体"/>
                <w:szCs w:val="21"/>
              </w:rPr>
              <w:t>未使用淘汰落后安全技术工艺、设备目录列出的工艺、设备。</w:t>
            </w:r>
          </w:p>
        </w:tc>
        <w:tc>
          <w:tcPr>
            <w:tcW w:w="720" w:type="dxa"/>
            <w:vAlign w:val="center"/>
          </w:tcPr>
          <w:p w14:paraId="1602CCD4">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2C849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A1BC4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12</w:t>
            </w:r>
          </w:p>
        </w:tc>
        <w:tc>
          <w:tcPr>
            <w:tcW w:w="3581" w:type="dxa"/>
            <w:vAlign w:val="center"/>
          </w:tcPr>
          <w:p w14:paraId="5551684D">
            <w:pPr>
              <w:rPr>
                <w:rFonts w:ascii="宋体" w:hAnsi="宋体" w:cs="宋体"/>
                <w:szCs w:val="21"/>
              </w:rPr>
            </w:pPr>
            <w:r>
              <w:rPr>
                <w:rFonts w:hint="eastAsia" w:ascii="宋体" w:hAnsi="宋体" w:cs="宋体"/>
                <w:szCs w:val="21"/>
              </w:rPr>
              <w:t>涉及可燃和有毒有害气体泄漏的场所未按国家标准设置检测报警装置，爆炸危险场所未按国家标准安装使用防爆电气设备。</w:t>
            </w:r>
          </w:p>
        </w:tc>
        <w:tc>
          <w:tcPr>
            <w:tcW w:w="1843" w:type="dxa"/>
            <w:vMerge w:val="continue"/>
            <w:vAlign w:val="center"/>
          </w:tcPr>
          <w:p w14:paraId="1F41DBED">
            <w:pPr>
              <w:pStyle w:val="57"/>
              <w:spacing w:line="240" w:lineRule="auto"/>
              <w:ind w:firstLine="0" w:firstLineChars="0"/>
              <w:rPr>
                <w:rFonts w:ascii="宋体" w:hAnsi="宋体" w:eastAsia="宋体" w:cs="宋体"/>
                <w:sz w:val="21"/>
                <w:szCs w:val="21"/>
              </w:rPr>
            </w:pPr>
          </w:p>
        </w:tc>
        <w:tc>
          <w:tcPr>
            <w:tcW w:w="2468" w:type="dxa"/>
            <w:vAlign w:val="center"/>
          </w:tcPr>
          <w:p w14:paraId="0DB821B8">
            <w:pPr>
              <w:rPr>
                <w:rFonts w:ascii="宋体" w:hAnsi="宋体" w:cs="宋体"/>
                <w:szCs w:val="21"/>
              </w:rPr>
            </w:pPr>
            <w:r>
              <w:rPr>
                <w:rFonts w:hint="eastAsia" w:ascii="宋体" w:hAnsi="宋体" w:cs="宋体"/>
                <w:szCs w:val="21"/>
              </w:rPr>
              <w:t>加油机、油泵、罩棚和站房内照明灯为防爆型。</w:t>
            </w:r>
          </w:p>
        </w:tc>
        <w:tc>
          <w:tcPr>
            <w:tcW w:w="720" w:type="dxa"/>
            <w:vAlign w:val="center"/>
          </w:tcPr>
          <w:p w14:paraId="75F2CA2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7F47A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52795F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13</w:t>
            </w:r>
          </w:p>
        </w:tc>
        <w:tc>
          <w:tcPr>
            <w:tcW w:w="3581" w:type="dxa"/>
            <w:vAlign w:val="center"/>
          </w:tcPr>
          <w:p w14:paraId="651EE0E5">
            <w:pPr>
              <w:rPr>
                <w:rFonts w:ascii="宋体" w:hAnsi="宋体" w:cs="宋体"/>
                <w:szCs w:val="21"/>
              </w:rPr>
            </w:pPr>
            <w:r>
              <w:rPr>
                <w:rFonts w:hint="eastAsia" w:ascii="宋体" w:hAnsi="宋体" w:cs="宋体"/>
                <w:szCs w:val="21"/>
              </w:rPr>
              <w:t>控制室或机柜间面向具有火灾、爆炸危险性装置一侧不满足国家标准关于防火防爆的要求。</w:t>
            </w:r>
          </w:p>
        </w:tc>
        <w:tc>
          <w:tcPr>
            <w:tcW w:w="1843" w:type="dxa"/>
            <w:vMerge w:val="continue"/>
            <w:vAlign w:val="center"/>
          </w:tcPr>
          <w:p w14:paraId="210B3C7B">
            <w:pPr>
              <w:pStyle w:val="57"/>
              <w:spacing w:line="240" w:lineRule="auto"/>
              <w:ind w:firstLine="0" w:firstLineChars="0"/>
              <w:rPr>
                <w:rFonts w:ascii="宋体" w:hAnsi="宋体" w:eastAsia="宋体" w:cs="宋体"/>
                <w:sz w:val="21"/>
                <w:szCs w:val="21"/>
              </w:rPr>
            </w:pPr>
          </w:p>
        </w:tc>
        <w:tc>
          <w:tcPr>
            <w:tcW w:w="2468" w:type="dxa"/>
            <w:vAlign w:val="center"/>
          </w:tcPr>
          <w:p w14:paraId="31557B48">
            <w:pPr>
              <w:rPr>
                <w:rFonts w:ascii="宋体" w:hAnsi="宋体" w:cs="宋体"/>
                <w:szCs w:val="21"/>
              </w:rPr>
            </w:pPr>
            <w:r>
              <w:rPr>
                <w:rFonts w:hint="eastAsia" w:ascii="宋体" w:hAnsi="宋体" w:cs="宋体"/>
                <w:szCs w:val="21"/>
              </w:rPr>
              <w:t>站房、配电室面向加油区、罐区一侧的设置情况符合规范要求。</w:t>
            </w:r>
          </w:p>
        </w:tc>
        <w:tc>
          <w:tcPr>
            <w:tcW w:w="720" w:type="dxa"/>
            <w:vAlign w:val="center"/>
          </w:tcPr>
          <w:p w14:paraId="6FD79D6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ABC39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126E14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14</w:t>
            </w:r>
          </w:p>
        </w:tc>
        <w:tc>
          <w:tcPr>
            <w:tcW w:w="3581" w:type="dxa"/>
            <w:vAlign w:val="center"/>
          </w:tcPr>
          <w:p w14:paraId="45B39628">
            <w:pPr>
              <w:rPr>
                <w:rFonts w:ascii="宋体" w:hAnsi="宋体" w:cs="宋体"/>
                <w:szCs w:val="21"/>
              </w:rPr>
            </w:pPr>
            <w:r>
              <w:rPr>
                <w:rFonts w:hint="eastAsia" w:ascii="宋体" w:hAnsi="宋体" w:cs="宋体"/>
                <w:szCs w:val="21"/>
              </w:rPr>
              <w:t>化工生产装置未按国家标准要求设置双重电源供电，自动化控制系统未设置不间断电源。</w:t>
            </w:r>
          </w:p>
        </w:tc>
        <w:tc>
          <w:tcPr>
            <w:tcW w:w="1843" w:type="dxa"/>
            <w:vMerge w:val="continue"/>
            <w:vAlign w:val="center"/>
          </w:tcPr>
          <w:p w14:paraId="46D967EF">
            <w:pPr>
              <w:pStyle w:val="57"/>
              <w:spacing w:line="240" w:lineRule="auto"/>
              <w:ind w:firstLine="0" w:firstLineChars="0"/>
              <w:rPr>
                <w:rFonts w:ascii="宋体" w:hAnsi="宋体" w:eastAsia="宋体" w:cs="宋体"/>
                <w:sz w:val="21"/>
                <w:szCs w:val="21"/>
              </w:rPr>
            </w:pPr>
          </w:p>
        </w:tc>
        <w:tc>
          <w:tcPr>
            <w:tcW w:w="2468" w:type="dxa"/>
            <w:vAlign w:val="center"/>
          </w:tcPr>
          <w:p w14:paraId="3BBE10E3">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76A9483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55FCAD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4947C4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15</w:t>
            </w:r>
          </w:p>
        </w:tc>
        <w:tc>
          <w:tcPr>
            <w:tcW w:w="3581" w:type="dxa"/>
            <w:vAlign w:val="center"/>
          </w:tcPr>
          <w:p w14:paraId="13ACF1D6">
            <w:pPr>
              <w:rPr>
                <w:rFonts w:ascii="宋体" w:hAnsi="宋体" w:cs="宋体"/>
                <w:szCs w:val="21"/>
              </w:rPr>
            </w:pPr>
            <w:r>
              <w:rPr>
                <w:rFonts w:hint="eastAsia" w:ascii="宋体" w:hAnsi="宋体" w:cs="宋体"/>
                <w:szCs w:val="21"/>
              </w:rPr>
              <w:t>安全阀、爆破片等安全附件未正常投用。</w:t>
            </w:r>
          </w:p>
        </w:tc>
        <w:tc>
          <w:tcPr>
            <w:tcW w:w="1843" w:type="dxa"/>
            <w:vMerge w:val="continue"/>
            <w:vAlign w:val="center"/>
          </w:tcPr>
          <w:p w14:paraId="1756329F">
            <w:pPr>
              <w:pStyle w:val="57"/>
              <w:spacing w:line="240" w:lineRule="auto"/>
              <w:ind w:firstLine="0" w:firstLineChars="0"/>
              <w:rPr>
                <w:rFonts w:ascii="宋体" w:hAnsi="宋体" w:eastAsia="宋体" w:cs="宋体"/>
                <w:sz w:val="21"/>
                <w:szCs w:val="21"/>
              </w:rPr>
            </w:pPr>
          </w:p>
        </w:tc>
        <w:tc>
          <w:tcPr>
            <w:tcW w:w="2468" w:type="dxa"/>
            <w:vAlign w:val="center"/>
          </w:tcPr>
          <w:p w14:paraId="6B65712B">
            <w:pPr>
              <w:rPr>
                <w:rFonts w:ascii="宋体" w:hAnsi="宋体" w:cs="宋体"/>
                <w:szCs w:val="21"/>
              </w:rPr>
            </w:pPr>
            <w:r>
              <w:rPr>
                <w:rFonts w:hint="eastAsia" w:ascii="宋体" w:hAnsi="宋体" w:cs="宋体"/>
                <w:szCs w:val="21"/>
              </w:rPr>
              <w:t>拉断阀、呼吸阀、阻火帽等正常。</w:t>
            </w:r>
          </w:p>
        </w:tc>
        <w:tc>
          <w:tcPr>
            <w:tcW w:w="720" w:type="dxa"/>
            <w:vAlign w:val="center"/>
          </w:tcPr>
          <w:p w14:paraId="0FA09DC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2C0B2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7E17B2A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16</w:t>
            </w:r>
          </w:p>
        </w:tc>
        <w:tc>
          <w:tcPr>
            <w:tcW w:w="3581" w:type="dxa"/>
            <w:vAlign w:val="center"/>
          </w:tcPr>
          <w:p w14:paraId="2CC28393">
            <w:pPr>
              <w:rPr>
                <w:rFonts w:ascii="宋体" w:hAnsi="宋体" w:cs="宋体"/>
                <w:szCs w:val="21"/>
              </w:rPr>
            </w:pPr>
            <w:r>
              <w:rPr>
                <w:rFonts w:hint="eastAsia" w:ascii="宋体" w:hAnsi="宋体" w:cs="宋体"/>
                <w:szCs w:val="21"/>
              </w:rPr>
              <w:t>未建立与岗位相匹配的全员安全生产责任制或者未制定实施生产安全事故隐患排查治理制度。</w:t>
            </w:r>
          </w:p>
        </w:tc>
        <w:tc>
          <w:tcPr>
            <w:tcW w:w="1843" w:type="dxa"/>
            <w:vMerge w:val="continue"/>
            <w:vAlign w:val="center"/>
          </w:tcPr>
          <w:p w14:paraId="0DD70BC9">
            <w:pPr>
              <w:pStyle w:val="57"/>
              <w:spacing w:line="240" w:lineRule="auto"/>
              <w:ind w:firstLine="0" w:firstLineChars="0"/>
              <w:rPr>
                <w:rFonts w:ascii="宋体" w:hAnsi="宋体" w:eastAsia="宋体" w:cs="宋体"/>
                <w:sz w:val="21"/>
                <w:szCs w:val="21"/>
              </w:rPr>
            </w:pPr>
          </w:p>
        </w:tc>
        <w:tc>
          <w:tcPr>
            <w:tcW w:w="2468" w:type="dxa"/>
            <w:vAlign w:val="center"/>
          </w:tcPr>
          <w:p w14:paraId="63A839DB">
            <w:pPr>
              <w:rPr>
                <w:rFonts w:ascii="宋体" w:hAnsi="宋体" w:cs="宋体"/>
                <w:szCs w:val="21"/>
              </w:rPr>
            </w:pPr>
            <w:r>
              <w:rPr>
                <w:rFonts w:hint="eastAsia" w:ascii="宋体" w:hAnsi="宋体" w:cs="宋体"/>
                <w:szCs w:val="21"/>
              </w:rPr>
              <w:t>已建立健全安全责任制和隐患排查治理制度。</w:t>
            </w:r>
          </w:p>
        </w:tc>
        <w:tc>
          <w:tcPr>
            <w:tcW w:w="720" w:type="dxa"/>
            <w:vAlign w:val="center"/>
          </w:tcPr>
          <w:p w14:paraId="108A317C">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55BDC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540C0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17</w:t>
            </w:r>
          </w:p>
        </w:tc>
        <w:tc>
          <w:tcPr>
            <w:tcW w:w="3581" w:type="dxa"/>
            <w:vAlign w:val="center"/>
          </w:tcPr>
          <w:p w14:paraId="0E16A3D8">
            <w:pPr>
              <w:rPr>
                <w:rFonts w:ascii="宋体" w:hAnsi="宋体" w:cs="宋体"/>
                <w:szCs w:val="21"/>
              </w:rPr>
            </w:pPr>
            <w:r>
              <w:rPr>
                <w:rFonts w:hint="eastAsia" w:ascii="宋体" w:hAnsi="宋体" w:cs="宋体"/>
                <w:szCs w:val="21"/>
              </w:rPr>
              <w:t>未制定操作规程和工艺控制指标。</w:t>
            </w:r>
          </w:p>
        </w:tc>
        <w:tc>
          <w:tcPr>
            <w:tcW w:w="1843" w:type="dxa"/>
            <w:vMerge w:val="continue"/>
            <w:vAlign w:val="center"/>
          </w:tcPr>
          <w:p w14:paraId="77D7D9FD">
            <w:pPr>
              <w:pStyle w:val="57"/>
              <w:spacing w:line="240" w:lineRule="auto"/>
              <w:ind w:firstLine="0" w:firstLineChars="0"/>
              <w:rPr>
                <w:rFonts w:ascii="宋体" w:hAnsi="宋体" w:eastAsia="宋体" w:cs="宋体"/>
                <w:sz w:val="21"/>
                <w:szCs w:val="21"/>
              </w:rPr>
            </w:pPr>
          </w:p>
        </w:tc>
        <w:tc>
          <w:tcPr>
            <w:tcW w:w="2468" w:type="dxa"/>
            <w:vAlign w:val="center"/>
          </w:tcPr>
          <w:p w14:paraId="559D5174">
            <w:pPr>
              <w:rPr>
                <w:rFonts w:ascii="宋体" w:hAnsi="宋体" w:cs="宋体"/>
                <w:szCs w:val="21"/>
              </w:rPr>
            </w:pPr>
            <w:r>
              <w:rPr>
                <w:rFonts w:hint="eastAsia" w:ascii="宋体" w:hAnsi="宋体" w:cs="宋体"/>
                <w:szCs w:val="21"/>
              </w:rPr>
              <w:t>制定了卸油、加油等安全操作规程。</w:t>
            </w:r>
          </w:p>
        </w:tc>
        <w:tc>
          <w:tcPr>
            <w:tcW w:w="720" w:type="dxa"/>
            <w:vAlign w:val="center"/>
          </w:tcPr>
          <w:p w14:paraId="4A30340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E1CD0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203020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18</w:t>
            </w:r>
          </w:p>
        </w:tc>
        <w:tc>
          <w:tcPr>
            <w:tcW w:w="3581" w:type="dxa"/>
            <w:vAlign w:val="center"/>
          </w:tcPr>
          <w:p w14:paraId="1963E9E6">
            <w:pPr>
              <w:rPr>
                <w:rFonts w:ascii="宋体" w:hAnsi="宋体" w:cs="宋体"/>
                <w:szCs w:val="21"/>
              </w:rPr>
            </w:pPr>
            <w:r>
              <w:rPr>
                <w:rFonts w:hint="eastAsia" w:ascii="宋体" w:hAnsi="宋体" w:cs="宋体"/>
                <w:szCs w:val="21"/>
              </w:rPr>
              <w:t>未按照国家标准制定动火、进入受限空间等特殊作业管理制度，或者制度未有效执行。</w:t>
            </w:r>
          </w:p>
        </w:tc>
        <w:tc>
          <w:tcPr>
            <w:tcW w:w="1843" w:type="dxa"/>
            <w:vMerge w:val="continue"/>
            <w:vAlign w:val="center"/>
          </w:tcPr>
          <w:p w14:paraId="275296E5">
            <w:pPr>
              <w:pStyle w:val="57"/>
              <w:spacing w:line="240" w:lineRule="auto"/>
              <w:ind w:firstLine="0" w:firstLineChars="0"/>
              <w:rPr>
                <w:rFonts w:ascii="宋体" w:hAnsi="宋体" w:eastAsia="宋体" w:cs="宋体"/>
                <w:sz w:val="21"/>
                <w:szCs w:val="21"/>
              </w:rPr>
            </w:pPr>
          </w:p>
        </w:tc>
        <w:tc>
          <w:tcPr>
            <w:tcW w:w="2468" w:type="dxa"/>
            <w:vAlign w:val="center"/>
          </w:tcPr>
          <w:p w14:paraId="19562D4E">
            <w:pPr>
              <w:rPr>
                <w:rFonts w:ascii="宋体" w:hAnsi="宋体" w:cs="宋体"/>
                <w:szCs w:val="21"/>
              </w:rPr>
            </w:pPr>
            <w:r>
              <w:rPr>
                <w:rFonts w:hint="eastAsia" w:ascii="宋体" w:hAnsi="宋体" w:cs="宋体"/>
                <w:szCs w:val="21"/>
              </w:rPr>
              <w:t>危险作业委托给具有资质的单位施工。</w:t>
            </w:r>
          </w:p>
        </w:tc>
        <w:tc>
          <w:tcPr>
            <w:tcW w:w="720" w:type="dxa"/>
            <w:vAlign w:val="center"/>
          </w:tcPr>
          <w:p w14:paraId="45F26DA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D0F5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D875D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19</w:t>
            </w:r>
          </w:p>
        </w:tc>
        <w:tc>
          <w:tcPr>
            <w:tcW w:w="3581" w:type="dxa"/>
            <w:vAlign w:val="center"/>
          </w:tcPr>
          <w:p w14:paraId="0892C757">
            <w:pPr>
              <w:rPr>
                <w:rFonts w:ascii="宋体" w:hAnsi="宋体" w:cs="宋体"/>
                <w:szCs w:val="21"/>
              </w:rPr>
            </w:pPr>
            <w:r>
              <w:rPr>
                <w:rFonts w:hint="eastAsia" w:ascii="宋体" w:hAnsi="宋体" w:cs="宋体"/>
                <w:szCs w:val="21"/>
              </w:rP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843" w:type="dxa"/>
            <w:vMerge w:val="continue"/>
            <w:vAlign w:val="center"/>
          </w:tcPr>
          <w:p w14:paraId="4D477739">
            <w:pPr>
              <w:pStyle w:val="57"/>
              <w:spacing w:line="240" w:lineRule="auto"/>
              <w:ind w:firstLine="0" w:firstLineChars="0"/>
              <w:rPr>
                <w:rFonts w:ascii="宋体" w:hAnsi="宋体" w:eastAsia="宋体" w:cs="宋体"/>
                <w:sz w:val="21"/>
                <w:szCs w:val="21"/>
              </w:rPr>
            </w:pPr>
          </w:p>
        </w:tc>
        <w:tc>
          <w:tcPr>
            <w:tcW w:w="2468" w:type="dxa"/>
            <w:vAlign w:val="center"/>
          </w:tcPr>
          <w:p w14:paraId="131AA006">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7D371B1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3FC42A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8D0357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20</w:t>
            </w:r>
          </w:p>
        </w:tc>
        <w:tc>
          <w:tcPr>
            <w:tcW w:w="3581" w:type="dxa"/>
            <w:vAlign w:val="center"/>
          </w:tcPr>
          <w:p w14:paraId="1A40EC20">
            <w:pPr>
              <w:rPr>
                <w:rFonts w:ascii="宋体" w:hAnsi="宋体" w:cs="宋体"/>
                <w:szCs w:val="21"/>
              </w:rPr>
            </w:pPr>
            <w:r>
              <w:rPr>
                <w:rFonts w:hint="eastAsia" w:ascii="宋体" w:hAnsi="宋体" w:cs="宋体"/>
                <w:szCs w:val="21"/>
              </w:rPr>
              <w:t>未按国家标准分区分类储存危险化学品，超量、超品种储存危险化学品，相互禁配物质混放混存。</w:t>
            </w:r>
          </w:p>
        </w:tc>
        <w:tc>
          <w:tcPr>
            <w:tcW w:w="1843" w:type="dxa"/>
            <w:vMerge w:val="continue"/>
            <w:vAlign w:val="center"/>
          </w:tcPr>
          <w:p w14:paraId="1CF05793">
            <w:pPr>
              <w:pStyle w:val="57"/>
              <w:spacing w:line="240" w:lineRule="auto"/>
              <w:ind w:firstLine="0" w:firstLineChars="0"/>
              <w:rPr>
                <w:rFonts w:ascii="宋体" w:hAnsi="宋体" w:eastAsia="宋体" w:cs="宋体"/>
                <w:sz w:val="21"/>
                <w:szCs w:val="21"/>
              </w:rPr>
            </w:pPr>
          </w:p>
        </w:tc>
        <w:tc>
          <w:tcPr>
            <w:tcW w:w="2468" w:type="dxa"/>
            <w:vAlign w:val="center"/>
          </w:tcPr>
          <w:p w14:paraId="3D1D50CB">
            <w:pPr>
              <w:rPr>
                <w:rFonts w:ascii="宋体" w:hAnsi="宋体" w:cs="宋体"/>
                <w:szCs w:val="21"/>
              </w:rPr>
            </w:pPr>
            <w:r>
              <w:rPr>
                <w:rFonts w:hint="eastAsia" w:ascii="宋体" w:hAnsi="宋体" w:cs="宋体"/>
                <w:szCs w:val="21"/>
              </w:rPr>
              <w:t>油品存储规模未超过核准的加油站等级。</w:t>
            </w:r>
          </w:p>
        </w:tc>
        <w:tc>
          <w:tcPr>
            <w:tcW w:w="720" w:type="dxa"/>
            <w:vAlign w:val="center"/>
          </w:tcPr>
          <w:p w14:paraId="2A5D34D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BDDE7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restart"/>
            <w:vAlign w:val="center"/>
          </w:tcPr>
          <w:p w14:paraId="2F36148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1</w:t>
            </w:r>
          </w:p>
        </w:tc>
        <w:tc>
          <w:tcPr>
            <w:tcW w:w="3581" w:type="dxa"/>
            <w:vAlign w:val="center"/>
          </w:tcPr>
          <w:p w14:paraId="750DD748">
            <w:pPr>
              <w:rPr>
                <w:rFonts w:ascii="宋体" w:hAnsi="宋体" w:cs="宋体"/>
                <w:szCs w:val="21"/>
              </w:rPr>
            </w:pPr>
            <w:r>
              <w:rPr>
                <w:rFonts w:hint="eastAsia" w:ascii="宋体" w:hAnsi="宋体" w:cs="宋体"/>
                <w:szCs w:val="21"/>
              </w:rPr>
              <w:t>从事危险化学品经营的单位（以下统称申请人）应当依法登记注册为企业，并具备下列基本条件：</w:t>
            </w:r>
          </w:p>
        </w:tc>
        <w:tc>
          <w:tcPr>
            <w:tcW w:w="1843" w:type="dxa"/>
            <w:vMerge w:val="restart"/>
            <w:vAlign w:val="center"/>
          </w:tcPr>
          <w:p w14:paraId="366076CA">
            <w:pPr>
              <w:ind w:firstLine="420" w:firstLineChars="200"/>
              <w:rPr>
                <w:rFonts w:ascii="宋体" w:hAnsi="宋体" w:cs="宋体"/>
                <w:szCs w:val="21"/>
              </w:rPr>
            </w:pPr>
            <w:r>
              <w:rPr>
                <w:rFonts w:hint="eastAsia" w:ascii="宋体" w:hAnsi="宋体" w:cs="宋体"/>
                <w:szCs w:val="21"/>
              </w:rPr>
              <w:t>《危险化学品经营许可证管理办法》（国家安全生产监督管理总局令第55号）第六条</w:t>
            </w:r>
          </w:p>
        </w:tc>
        <w:tc>
          <w:tcPr>
            <w:tcW w:w="2468" w:type="dxa"/>
            <w:vAlign w:val="center"/>
          </w:tcPr>
          <w:p w14:paraId="506B8F2B">
            <w:pPr>
              <w:rPr>
                <w:rFonts w:ascii="宋体" w:hAnsi="宋体" w:cs="宋体"/>
                <w:szCs w:val="21"/>
              </w:rPr>
            </w:pPr>
            <w:r>
              <w:rPr>
                <w:rFonts w:hint="eastAsia" w:ascii="宋体" w:hAnsi="宋体" w:cs="宋体"/>
                <w:szCs w:val="21"/>
              </w:rPr>
              <w:t>企业已注册，取证营业执照。</w:t>
            </w:r>
          </w:p>
        </w:tc>
        <w:tc>
          <w:tcPr>
            <w:tcW w:w="720" w:type="dxa"/>
            <w:vAlign w:val="center"/>
          </w:tcPr>
          <w:p w14:paraId="0CAF32E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81FF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24B5EE7F">
            <w:pPr>
              <w:pStyle w:val="57"/>
              <w:spacing w:line="240" w:lineRule="auto"/>
              <w:ind w:firstLine="0" w:firstLineChars="0"/>
              <w:jc w:val="center"/>
              <w:rPr>
                <w:rFonts w:ascii="宋体" w:hAnsi="宋体" w:eastAsia="宋体" w:cs="宋体"/>
                <w:sz w:val="21"/>
                <w:szCs w:val="21"/>
              </w:rPr>
            </w:pPr>
          </w:p>
        </w:tc>
        <w:tc>
          <w:tcPr>
            <w:tcW w:w="3581" w:type="dxa"/>
            <w:vAlign w:val="center"/>
          </w:tcPr>
          <w:p w14:paraId="09C69EC9">
            <w:pPr>
              <w:rPr>
                <w:rFonts w:ascii="宋体" w:hAnsi="宋体" w:cs="宋体"/>
                <w:szCs w:val="21"/>
              </w:rPr>
            </w:pPr>
            <w:r>
              <w:rPr>
                <w:rFonts w:hint="eastAsia" w:ascii="宋体" w:hAnsi="宋体" w:cs="宋体"/>
                <w:szCs w:val="21"/>
              </w:rPr>
              <w:t>经营和储存场所、设施、建筑物符合《建筑设计防火规范》（GB50016）、《石油化工企业设计防火规范》（GB50160）、《汽车加油加气站设计与施工规范》（GB50156）、《石油库设计规范》（GB50074）等相关国家标准、行业标准的规定；</w:t>
            </w:r>
          </w:p>
        </w:tc>
        <w:tc>
          <w:tcPr>
            <w:tcW w:w="1843" w:type="dxa"/>
            <w:vMerge w:val="continue"/>
            <w:vAlign w:val="center"/>
          </w:tcPr>
          <w:p w14:paraId="53F7A9D2">
            <w:pPr>
              <w:pStyle w:val="57"/>
              <w:spacing w:line="240" w:lineRule="auto"/>
              <w:ind w:firstLine="0" w:firstLineChars="0"/>
              <w:rPr>
                <w:rFonts w:ascii="宋体" w:hAnsi="宋体" w:eastAsia="宋体" w:cs="宋体"/>
                <w:sz w:val="21"/>
                <w:szCs w:val="21"/>
              </w:rPr>
            </w:pPr>
          </w:p>
        </w:tc>
        <w:tc>
          <w:tcPr>
            <w:tcW w:w="2468" w:type="dxa"/>
            <w:vAlign w:val="center"/>
          </w:tcPr>
          <w:p w14:paraId="26A369EC">
            <w:pPr>
              <w:rPr>
                <w:rFonts w:ascii="宋体" w:hAnsi="宋体" w:cs="宋体"/>
                <w:szCs w:val="21"/>
              </w:rPr>
            </w:pPr>
            <w:r>
              <w:rPr>
                <w:rFonts w:hint="eastAsia" w:ascii="宋体" w:hAnsi="宋体" w:cs="宋体"/>
                <w:szCs w:val="21"/>
              </w:rPr>
              <w:t>经检查，经营和储存场所《汽车加油加气站设计与施工规范》（GB50156）的相关规定。</w:t>
            </w:r>
          </w:p>
        </w:tc>
        <w:tc>
          <w:tcPr>
            <w:tcW w:w="720" w:type="dxa"/>
            <w:vAlign w:val="center"/>
          </w:tcPr>
          <w:p w14:paraId="445D182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F1A3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6F34B47E">
            <w:pPr>
              <w:pStyle w:val="57"/>
              <w:spacing w:line="240" w:lineRule="auto"/>
              <w:ind w:firstLine="0" w:firstLineChars="0"/>
              <w:jc w:val="center"/>
              <w:rPr>
                <w:rFonts w:ascii="宋体" w:hAnsi="宋体" w:eastAsia="宋体" w:cs="宋体"/>
                <w:sz w:val="21"/>
                <w:szCs w:val="21"/>
              </w:rPr>
            </w:pPr>
          </w:p>
        </w:tc>
        <w:tc>
          <w:tcPr>
            <w:tcW w:w="3581" w:type="dxa"/>
            <w:vAlign w:val="center"/>
          </w:tcPr>
          <w:p w14:paraId="2FF97738">
            <w:pPr>
              <w:rPr>
                <w:rFonts w:ascii="宋体" w:hAnsi="宋体" w:cs="宋体"/>
                <w:szCs w:val="21"/>
              </w:rPr>
            </w:pPr>
            <w:r>
              <w:rPr>
                <w:rFonts w:hint="eastAsia" w:ascii="宋体" w:hAnsi="宋体" w:cs="宋体"/>
                <w:szCs w:val="21"/>
              </w:rPr>
              <w:t>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1843" w:type="dxa"/>
            <w:vMerge w:val="continue"/>
            <w:vAlign w:val="center"/>
          </w:tcPr>
          <w:p w14:paraId="195D2279">
            <w:pPr>
              <w:pStyle w:val="57"/>
              <w:spacing w:line="240" w:lineRule="auto"/>
              <w:ind w:firstLine="0" w:firstLineChars="0"/>
              <w:rPr>
                <w:rFonts w:ascii="宋体" w:hAnsi="宋体" w:eastAsia="宋体" w:cs="宋体"/>
                <w:sz w:val="21"/>
                <w:szCs w:val="21"/>
              </w:rPr>
            </w:pPr>
          </w:p>
        </w:tc>
        <w:tc>
          <w:tcPr>
            <w:tcW w:w="2468" w:type="dxa"/>
            <w:vAlign w:val="center"/>
          </w:tcPr>
          <w:p w14:paraId="2FF6C40B">
            <w:pPr>
              <w:rPr>
                <w:rFonts w:ascii="宋体" w:hAnsi="宋体" w:cs="宋体"/>
                <w:szCs w:val="21"/>
              </w:rPr>
            </w:pPr>
            <w:r>
              <w:rPr>
                <w:rFonts w:hint="eastAsia" w:ascii="宋体" w:hAnsi="宋体" w:cs="宋体"/>
                <w:szCs w:val="21"/>
              </w:rPr>
              <w:t>加油站的站长、安全员已取证。电工、油罐清洗等其它特种作业委托具有相应资质的单位作业。</w:t>
            </w:r>
          </w:p>
        </w:tc>
        <w:tc>
          <w:tcPr>
            <w:tcW w:w="720" w:type="dxa"/>
            <w:vAlign w:val="center"/>
          </w:tcPr>
          <w:p w14:paraId="51A9173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317FB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14F208FF">
            <w:pPr>
              <w:pStyle w:val="57"/>
              <w:spacing w:line="240" w:lineRule="auto"/>
              <w:ind w:firstLine="0" w:firstLineChars="0"/>
              <w:jc w:val="center"/>
              <w:rPr>
                <w:rFonts w:ascii="宋体" w:hAnsi="宋体" w:eastAsia="宋体" w:cs="宋体"/>
                <w:sz w:val="21"/>
                <w:szCs w:val="21"/>
              </w:rPr>
            </w:pPr>
          </w:p>
        </w:tc>
        <w:tc>
          <w:tcPr>
            <w:tcW w:w="3581" w:type="dxa"/>
            <w:vAlign w:val="center"/>
          </w:tcPr>
          <w:p w14:paraId="465FA889">
            <w:pPr>
              <w:rPr>
                <w:rFonts w:ascii="宋体" w:hAnsi="宋体" w:cs="宋体"/>
                <w:szCs w:val="21"/>
              </w:rPr>
            </w:pPr>
            <w:r>
              <w:rPr>
                <w:rFonts w:hint="eastAsia" w:ascii="宋体" w:hAnsi="宋体" w:cs="宋体"/>
                <w:szCs w:val="21"/>
              </w:rPr>
              <w:t>有符合国家规定的危险化学品事故应急预案，并配备必要的应急救援器材、设备；</w:t>
            </w:r>
          </w:p>
        </w:tc>
        <w:tc>
          <w:tcPr>
            <w:tcW w:w="1843" w:type="dxa"/>
            <w:vMerge w:val="continue"/>
            <w:vAlign w:val="center"/>
          </w:tcPr>
          <w:p w14:paraId="257EFF9A">
            <w:pPr>
              <w:pStyle w:val="57"/>
              <w:spacing w:line="240" w:lineRule="auto"/>
              <w:ind w:firstLine="0" w:firstLineChars="0"/>
              <w:rPr>
                <w:rFonts w:ascii="宋体" w:hAnsi="宋体" w:eastAsia="宋体" w:cs="宋体"/>
                <w:sz w:val="21"/>
                <w:szCs w:val="21"/>
              </w:rPr>
            </w:pPr>
          </w:p>
        </w:tc>
        <w:tc>
          <w:tcPr>
            <w:tcW w:w="2468" w:type="dxa"/>
            <w:vAlign w:val="center"/>
          </w:tcPr>
          <w:p w14:paraId="5B3937BA">
            <w:pPr>
              <w:rPr>
                <w:rFonts w:ascii="宋体" w:hAnsi="宋体" w:cs="宋体"/>
                <w:szCs w:val="21"/>
              </w:rPr>
            </w:pPr>
            <w:r>
              <w:rPr>
                <w:rFonts w:hint="eastAsia" w:ascii="宋体" w:hAnsi="宋体" w:cs="宋体"/>
                <w:szCs w:val="21"/>
              </w:rPr>
              <w:t>应急预案备案未满三年。配备了相应的灭火器材和应急器材。</w:t>
            </w:r>
          </w:p>
        </w:tc>
        <w:tc>
          <w:tcPr>
            <w:tcW w:w="720" w:type="dxa"/>
            <w:vAlign w:val="center"/>
          </w:tcPr>
          <w:p w14:paraId="1EC1A45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A12B3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E09E78">
            <w:pPr>
              <w:pStyle w:val="57"/>
              <w:spacing w:line="240" w:lineRule="auto"/>
              <w:ind w:firstLine="0" w:firstLineChars="0"/>
              <w:jc w:val="center"/>
              <w:rPr>
                <w:rFonts w:ascii="宋体" w:hAnsi="宋体" w:eastAsia="宋体" w:cs="宋体"/>
                <w:sz w:val="21"/>
                <w:szCs w:val="21"/>
              </w:rPr>
            </w:pPr>
            <w:r>
              <w:rPr>
                <w:rFonts w:ascii="宋体" w:hAnsi="宋体" w:eastAsia="宋体" w:cs="宋体"/>
                <w:sz w:val="21"/>
                <w:szCs w:val="21"/>
              </w:rPr>
              <w:t>22</w:t>
            </w:r>
          </w:p>
        </w:tc>
        <w:tc>
          <w:tcPr>
            <w:tcW w:w="3581" w:type="dxa"/>
            <w:vAlign w:val="center"/>
          </w:tcPr>
          <w:p w14:paraId="172AFE87">
            <w:pPr>
              <w:rPr>
                <w:rFonts w:ascii="宋体" w:hAnsi="宋体" w:cs="宋体"/>
                <w:szCs w:val="21"/>
              </w:rPr>
            </w:pPr>
            <w:r>
              <w:rPr>
                <w:rFonts w:hint="eastAsia" w:ascii="宋体" w:hAnsi="宋体" w:cs="宋体"/>
                <w:szCs w:val="21"/>
              </w:rPr>
              <w:t>提出危险化学品经营许可证延期申请的企业，安全生产标准化应达到三级。</w:t>
            </w:r>
          </w:p>
        </w:tc>
        <w:tc>
          <w:tcPr>
            <w:tcW w:w="1843" w:type="dxa"/>
            <w:vAlign w:val="center"/>
          </w:tcPr>
          <w:p w14:paraId="2DEEB276">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《云南省安全生产监督管理局关于危险化学品经营行政许可有关事项的通知》（云安监管〔2013〕13号）第六条</w:t>
            </w:r>
          </w:p>
        </w:tc>
        <w:tc>
          <w:tcPr>
            <w:tcW w:w="2468" w:type="dxa"/>
            <w:vAlign w:val="center"/>
          </w:tcPr>
          <w:p w14:paraId="1AA3C7C1">
            <w:pPr>
              <w:rPr>
                <w:rFonts w:ascii="宋体" w:hAnsi="宋体" w:cs="宋体"/>
                <w:szCs w:val="21"/>
              </w:rPr>
            </w:pPr>
            <w:r>
              <w:rPr>
                <w:rFonts w:hint="eastAsia" w:ascii="宋体" w:hAnsi="宋体" w:cs="宋体"/>
                <w:szCs w:val="21"/>
              </w:rPr>
              <w:t>已取得安全生产标准化证书。</w:t>
            </w:r>
          </w:p>
        </w:tc>
        <w:tc>
          <w:tcPr>
            <w:tcW w:w="720" w:type="dxa"/>
            <w:vAlign w:val="center"/>
          </w:tcPr>
          <w:p w14:paraId="521673B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bl>
    <w:p w14:paraId="10BA9374">
      <w:pPr>
        <w:pStyle w:val="4"/>
        <w:spacing w:afterLines="100" w:line="500" w:lineRule="exact"/>
        <w:rPr>
          <w:rFonts w:ascii="黑体" w:hAnsi="宋体"/>
          <w:kern w:val="3"/>
          <w:sz w:val="28"/>
          <w:szCs w:val="28"/>
        </w:rPr>
      </w:pPr>
      <w:bookmarkStart w:id="479" w:name="_Toc71894959"/>
      <w:r>
        <w:rPr>
          <w:rFonts w:hint="eastAsia" w:ascii="黑体" w:hAnsi="宋体"/>
          <w:kern w:val="3"/>
          <w:sz w:val="28"/>
          <w:szCs w:val="28"/>
        </w:rPr>
        <w:t>6</w:t>
      </w:r>
      <w:r>
        <w:rPr>
          <w:rFonts w:ascii="黑体" w:hAnsi="宋体"/>
          <w:kern w:val="3"/>
          <w:sz w:val="28"/>
          <w:szCs w:val="28"/>
        </w:rPr>
        <w:t>.7.2</w:t>
      </w:r>
      <w:r>
        <w:rPr>
          <w:rFonts w:hint="eastAsia" w:ascii="黑体" w:hAnsi="宋体"/>
          <w:kern w:val="3"/>
          <w:sz w:val="28"/>
          <w:szCs w:val="28"/>
        </w:rPr>
        <w:t>小结</w:t>
      </w:r>
      <w:bookmarkEnd w:id="479"/>
    </w:p>
    <w:p w14:paraId="0B5DEA16">
      <w:pPr>
        <w:spacing w:line="500" w:lineRule="exact"/>
        <w:ind w:firstLine="560" w:firstLineChars="200"/>
        <w:rPr>
          <w:rFonts w:ascii="宋体" w:hAnsi="宋体"/>
        </w:rPr>
      </w:pPr>
      <w:r>
        <w:rPr>
          <w:rFonts w:hint="eastAsia"/>
          <w:sz w:val="28"/>
          <w:szCs w:val="28"/>
        </w:rPr>
        <w:t>通过上述安全检查评价，该加油站不存在</w:t>
      </w:r>
      <w:r>
        <w:rPr>
          <w:rFonts w:hint="eastAsia" w:ascii="宋体" w:hAnsi="宋体" w:cs="宋体"/>
          <w:sz w:val="28"/>
          <w:szCs w:val="28"/>
        </w:rPr>
        <w:t>重大生产安全事故隐患，</w:t>
      </w:r>
      <w:r>
        <w:rPr>
          <w:rFonts w:hint="eastAsia"/>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具备危险化学品经营许可证延期换证的安全条件</w:t>
      </w:r>
      <w:r>
        <w:rPr>
          <w:rFonts w:hint="eastAsia" w:ascii="宋体" w:hAnsi="宋体"/>
          <w:sz w:val="28"/>
          <w:szCs w:val="28"/>
        </w:rPr>
        <w:t>。</w:t>
      </w:r>
    </w:p>
    <w:p w14:paraId="5AF1E56B">
      <w:pPr>
        <w:pStyle w:val="4"/>
        <w:spacing w:afterLines="100" w:line="500" w:lineRule="exact"/>
        <w:jc w:val="center"/>
        <w:rPr>
          <w:rFonts w:ascii="楷体_GB2312" w:hAnsi="宋体" w:eastAsia="楷体_GB2312"/>
          <w:kern w:val="3"/>
        </w:rPr>
      </w:pPr>
      <w:r>
        <w:rPr>
          <w:rFonts w:ascii="宋体" w:hAnsi="宋体" w:eastAsia="宋体"/>
        </w:rPr>
        <w:br w:type="page"/>
      </w:r>
      <w:bookmarkStart w:id="480" w:name="_Toc71894960"/>
      <w:r>
        <w:rPr>
          <w:rFonts w:hint="eastAsia" w:ascii="楷体_GB2312" w:hAnsi="宋体" w:eastAsia="楷体_GB2312"/>
          <w:kern w:val="3"/>
        </w:rPr>
        <w:t>第7章   存在问题及安全对策措施与建议</w:t>
      </w:r>
      <w:bookmarkEnd w:id="480"/>
    </w:p>
    <w:p w14:paraId="2289BD57">
      <w:pPr>
        <w:pStyle w:val="4"/>
        <w:spacing w:afterLines="100" w:line="500" w:lineRule="exact"/>
        <w:jc w:val="center"/>
        <w:rPr>
          <w:rFonts w:ascii="楷体_GB2312" w:hAnsi="宋体" w:eastAsia="楷体_GB2312"/>
          <w:kern w:val="3"/>
        </w:rPr>
      </w:pPr>
      <w:bookmarkStart w:id="481" w:name="_Toc71894961"/>
      <w:r>
        <w:rPr>
          <w:rFonts w:hint="eastAsia" w:ascii="楷体_GB2312" w:hAnsi="宋体" w:eastAsia="楷体_GB2312"/>
          <w:kern w:val="3"/>
        </w:rPr>
        <w:t>7.1存在问题</w:t>
      </w:r>
      <w:bookmarkEnd w:id="481"/>
    </w:p>
    <w:p w14:paraId="2CF9CFF5">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5</w:t>
      </w:r>
      <w:r>
        <w:rPr>
          <w:rFonts w:ascii="宋体" w:hAnsi="宋体"/>
          <w:kern w:val="3"/>
          <w:sz w:val="28"/>
          <w:szCs w:val="28"/>
        </w:rPr>
        <w:t>年</w:t>
      </w:r>
      <w:r>
        <w:rPr>
          <w:rFonts w:hint="eastAsia" w:ascii="宋体" w:hAnsi="宋体"/>
          <w:kern w:val="3"/>
          <w:sz w:val="28"/>
          <w:szCs w:val="28"/>
          <w:lang w:val="en-US" w:eastAsia="zh-CN"/>
        </w:rPr>
        <w:t>6</w:t>
      </w:r>
      <w:r>
        <w:rPr>
          <w:rFonts w:ascii="宋体" w:hAnsi="宋体"/>
          <w:kern w:val="3"/>
          <w:sz w:val="28"/>
          <w:szCs w:val="28"/>
        </w:rPr>
        <w:t>月</w:t>
      </w:r>
      <w:r>
        <w:rPr>
          <w:rFonts w:hint="eastAsia" w:ascii="宋体" w:hAnsi="宋体"/>
          <w:kern w:val="3"/>
          <w:sz w:val="28"/>
          <w:szCs w:val="28"/>
          <w:lang w:val="en-US" w:eastAsia="zh-CN"/>
        </w:rPr>
        <w:t>6</w:t>
      </w:r>
      <w:r>
        <w:rPr>
          <w:rFonts w:ascii="宋体" w:hAnsi="宋体"/>
          <w:kern w:val="3"/>
          <w:sz w:val="28"/>
          <w:szCs w:val="28"/>
        </w:rPr>
        <w:t>日到</w:t>
      </w:r>
      <w:r>
        <w:rPr>
          <w:rFonts w:hint="eastAsia" w:ascii="宋体" w:hAnsi="宋体"/>
          <w:kern w:val="3"/>
          <w:sz w:val="28"/>
          <w:szCs w:val="28"/>
          <w:lang w:eastAsia="zh-CN"/>
        </w:rPr>
        <w:t>盐津县豆沙狮子湾加油站</w:t>
      </w:r>
      <w:r>
        <w:rPr>
          <w:rFonts w:ascii="宋体" w:hAnsi="宋体"/>
          <w:kern w:val="3"/>
          <w:sz w:val="28"/>
          <w:szCs w:val="28"/>
        </w:rPr>
        <w:t>现场检查时</w:t>
      </w:r>
      <w:r>
        <w:rPr>
          <w:rFonts w:hint="eastAsia" w:ascii="宋体" w:hAnsi="宋体"/>
          <w:kern w:val="3"/>
          <w:sz w:val="28"/>
          <w:szCs w:val="28"/>
        </w:rPr>
        <w:t>发现加油站存在以下问题：</w:t>
      </w:r>
    </w:p>
    <w:p w14:paraId="6DCAD7F5">
      <w:pPr>
        <w:numPr>
          <w:ilvl w:val="0"/>
          <w:numId w:val="10"/>
        </w:numPr>
        <w:jc w:val="left"/>
        <w:rPr>
          <w:rFonts w:hint="eastAsia"/>
          <w:sz w:val="28"/>
          <w:szCs w:val="28"/>
          <w:lang w:val="en-US" w:eastAsia="zh-CN"/>
        </w:rPr>
      </w:pPr>
      <w:r>
        <w:rPr>
          <w:rFonts w:hint="eastAsia"/>
          <w:sz w:val="28"/>
          <w:szCs w:val="28"/>
          <w:lang w:val="en-US" w:eastAsia="zh-CN"/>
        </w:rPr>
        <w:t>办公室急停按钮处无安全警示标识，</w:t>
      </w:r>
    </w:p>
    <w:p w14:paraId="58A5BBC0">
      <w:pPr>
        <w:numPr>
          <w:ilvl w:val="0"/>
          <w:numId w:val="10"/>
        </w:numPr>
        <w:jc w:val="left"/>
        <w:rPr>
          <w:rFonts w:hint="default"/>
          <w:sz w:val="28"/>
          <w:szCs w:val="28"/>
          <w:lang w:val="en-US" w:eastAsia="zh-CN"/>
        </w:rPr>
      </w:pPr>
      <w:r>
        <w:rPr>
          <w:rFonts w:hint="eastAsia"/>
          <w:sz w:val="28"/>
          <w:szCs w:val="28"/>
          <w:lang w:val="en-US" w:eastAsia="zh-CN"/>
        </w:rPr>
        <w:t>油罐操作井内标示不完善，</w:t>
      </w:r>
    </w:p>
    <w:p w14:paraId="552DEF9A">
      <w:pPr>
        <w:numPr>
          <w:ilvl w:val="0"/>
          <w:numId w:val="10"/>
        </w:numPr>
        <w:jc w:val="left"/>
        <w:rPr>
          <w:rFonts w:hint="default"/>
          <w:sz w:val="28"/>
          <w:szCs w:val="28"/>
          <w:lang w:val="en-US" w:eastAsia="zh-CN"/>
        </w:rPr>
      </w:pPr>
      <w:r>
        <w:rPr>
          <w:rFonts w:hint="eastAsia"/>
          <w:sz w:val="28"/>
          <w:szCs w:val="28"/>
          <w:lang w:val="en-US" w:eastAsia="zh-CN"/>
        </w:rPr>
        <w:t>静电释放仪电池失效，</w:t>
      </w:r>
    </w:p>
    <w:p w14:paraId="754C2377">
      <w:pPr>
        <w:numPr>
          <w:ilvl w:val="0"/>
          <w:numId w:val="10"/>
        </w:numPr>
        <w:jc w:val="left"/>
        <w:rPr>
          <w:rFonts w:ascii="宋体" w:hAnsi="宋体"/>
          <w:kern w:val="3"/>
          <w:sz w:val="28"/>
          <w:szCs w:val="28"/>
        </w:rPr>
      </w:pPr>
      <w:r>
        <w:rPr>
          <w:rFonts w:hint="eastAsia"/>
          <w:sz w:val="28"/>
          <w:szCs w:val="28"/>
          <w:lang w:val="en-US" w:eastAsia="zh-CN"/>
        </w:rPr>
        <w:t>发电机停用后未挂停用标识。</w:t>
      </w:r>
    </w:p>
    <w:p w14:paraId="6FA928C4">
      <w:pPr>
        <w:pStyle w:val="4"/>
        <w:spacing w:afterLines="100" w:line="500" w:lineRule="exact"/>
        <w:jc w:val="center"/>
        <w:rPr>
          <w:rFonts w:ascii="楷体_GB2312" w:hAnsi="宋体" w:eastAsia="楷体_GB2312"/>
          <w:kern w:val="3"/>
        </w:rPr>
      </w:pPr>
      <w:bookmarkStart w:id="482" w:name="_Toc71894962"/>
      <w:r>
        <w:rPr>
          <w:rFonts w:hint="eastAsia" w:ascii="楷体_GB2312" w:hAnsi="宋体" w:eastAsia="楷体_GB2312"/>
          <w:kern w:val="3"/>
        </w:rPr>
        <w:t>7.2整改情况</w:t>
      </w:r>
      <w:bookmarkEnd w:id="482"/>
    </w:p>
    <w:p w14:paraId="60001CF7">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5</w:t>
      </w:r>
      <w:r>
        <w:rPr>
          <w:rFonts w:ascii="宋体" w:hAnsi="宋体"/>
          <w:kern w:val="3"/>
          <w:sz w:val="28"/>
          <w:szCs w:val="28"/>
        </w:rPr>
        <w:t>年</w:t>
      </w:r>
      <w:r>
        <w:rPr>
          <w:rFonts w:hint="eastAsia" w:ascii="宋体" w:hAnsi="宋体"/>
          <w:kern w:val="3"/>
          <w:sz w:val="28"/>
          <w:szCs w:val="28"/>
          <w:lang w:val="en-US" w:eastAsia="zh-CN"/>
        </w:rPr>
        <w:t>6</w:t>
      </w:r>
      <w:r>
        <w:rPr>
          <w:rFonts w:ascii="宋体" w:hAnsi="宋体"/>
          <w:kern w:val="3"/>
          <w:sz w:val="28"/>
          <w:szCs w:val="28"/>
        </w:rPr>
        <w:t>月</w:t>
      </w:r>
      <w:r>
        <w:rPr>
          <w:rFonts w:hint="eastAsia" w:ascii="宋体" w:hAnsi="宋体"/>
          <w:kern w:val="3"/>
          <w:sz w:val="28"/>
          <w:szCs w:val="28"/>
          <w:lang w:val="en-US" w:eastAsia="zh-CN"/>
        </w:rPr>
        <w:t>6</w:t>
      </w:r>
      <w:r>
        <w:rPr>
          <w:rFonts w:ascii="宋体" w:hAnsi="宋体"/>
          <w:kern w:val="3"/>
          <w:sz w:val="28"/>
          <w:szCs w:val="28"/>
        </w:rPr>
        <w:t>日到</w:t>
      </w:r>
      <w:r>
        <w:rPr>
          <w:rFonts w:hint="eastAsia" w:ascii="宋体" w:hAnsi="宋体"/>
          <w:kern w:val="3"/>
          <w:sz w:val="28"/>
          <w:szCs w:val="28"/>
          <w:lang w:eastAsia="zh-CN"/>
        </w:rPr>
        <w:t>盐津县豆沙狮子湾加油站</w:t>
      </w:r>
      <w:r>
        <w:rPr>
          <w:rFonts w:ascii="宋体" w:hAnsi="宋体"/>
          <w:kern w:val="3"/>
          <w:sz w:val="28"/>
          <w:szCs w:val="28"/>
        </w:rPr>
        <w:t>现场检查时</w:t>
      </w:r>
      <w:r>
        <w:rPr>
          <w:rFonts w:hint="eastAsia" w:ascii="宋体" w:hAnsi="宋体"/>
          <w:kern w:val="3"/>
          <w:sz w:val="28"/>
          <w:szCs w:val="28"/>
        </w:rPr>
        <w:t>发现加油站存在的问题后，与加油站交换了意见，加油站已整改完成</w:t>
      </w:r>
      <w:r>
        <w:rPr>
          <w:rFonts w:hint="eastAsia" w:ascii="宋体" w:hAnsi="宋体"/>
          <w:kern w:val="3"/>
          <w:sz w:val="28"/>
          <w:szCs w:val="28"/>
          <w:lang w:eastAsia="zh-CN"/>
        </w:rPr>
        <w:t>。</w:t>
      </w:r>
    </w:p>
    <w:p w14:paraId="0A5494B3">
      <w:pPr>
        <w:pStyle w:val="4"/>
        <w:spacing w:afterLines="100" w:line="500" w:lineRule="exact"/>
        <w:jc w:val="center"/>
        <w:rPr>
          <w:rFonts w:ascii="楷体_GB2312" w:hAnsi="宋体" w:eastAsia="楷体_GB2312"/>
          <w:kern w:val="3"/>
        </w:rPr>
      </w:pPr>
      <w:bookmarkStart w:id="483" w:name="_Toc101358826"/>
      <w:bookmarkStart w:id="484" w:name="_Toc377463203"/>
      <w:bookmarkStart w:id="485" w:name="_Toc148078320"/>
      <w:bookmarkStart w:id="486" w:name="_Toc231975939"/>
      <w:bookmarkStart w:id="487" w:name="_Toc12394"/>
      <w:bookmarkStart w:id="488" w:name="_Toc71894963"/>
      <w:bookmarkStart w:id="489" w:name="_Toc241652167"/>
      <w:bookmarkStart w:id="490" w:name="_Toc231976661"/>
      <w:r>
        <w:rPr>
          <w:rFonts w:ascii="楷体_GB2312" w:hAnsi="宋体" w:eastAsia="楷体_GB2312"/>
          <w:kern w:val="3"/>
        </w:rPr>
        <w:t>7.</w:t>
      </w:r>
      <w:r>
        <w:rPr>
          <w:rFonts w:hint="eastAsia" w:ascii="楷体_GB2312" w:hAnsi="宋体" w:eastAsia="楷体_GB2312"/>
          <w:kern w:val="3"/>
        </w:rPr>
        <w:t>3</w:t>
      </w:r>
      <w:bookmarkEnd w:id="483"/>
      <w:r>
        <w:rPr>
          <w:rFonts w:ascii="楷体_GB2312" w:hAnsi="宋体" w:eastAsia="楷体_GB2312"/>
          <w:kern w:val="3"/>
        </w:rPr>
        <w:t>针对加油站主要危险有害因素提出的安全措施及建议</w:t>
      </w:r>
      <w:bookmarkEnd w:id="484"/>
      <w:bookmarkEnd w:id="485"/>
      <w:bookmarkEnd w:id="486"/>
      <w:bookmarkEnd w:id="487"/>
      <w:bookmarkEnd w:id="488"/>
      <w:bookmarkEnd w:id="489"/>
      <w:bookmarkEnd w:id="490"/>
    </w:p>
    <w:p w14:paraId="3CE641DE">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根据加油站主要危险、有害因素的分析，结合该站装置的工艺特征和有关标准、规范，按照经济合理与可操作的原则，本评价报告从以下几方面提出安全对策措施及建议。</w:t>
      </w:r>
    </w:p>
    <w:p w14:paraId="4B42AF51">
      <w:pPr>
        <w:pStyle w:val="4"/>
        <w:spacing w:afterLines="100" w:line="500" w:lineRule="exact"/>
        <w:rPr>
          <w:rFonts w:ascii="黑体" w:hAnsi="宋体"/>
          <w:kern w:val="3"/>
          <w:sz w:val="28"/>
          <w:szCs w:val="28"/>
        </w:rPr>
      </w:pPr>
      <w:bookmarkStart w:id="491" w:name="_Toc71894964"/>
      <w:bookmarkStart w:id="492" w:name="_Toc377463204"/>
      <w:bookmarkStart w:id="493" w:name="_Toc25618"/>
      <w:bookmarkStart w:id="494" w:name="_Toc237320048"/>
      <w:bookmarkStart w:id="495" w:name="_Toc241652168"/>
      <w:bookmarkStart w:id="496" w:name="_Toc31386357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.1防火、防爆对策措施</w:t>
      </w:r>
      <w:bookmarkEnd w:id="491"/>
      <w:bookmarkEnd w:id="492"/>
      <w:bookmarkEnd w:id="493"/>
      <w:bookmarkEnd w:id="494"/>
      <w:bookmarkEnd w:id="495"/>
      <w:bookmarkEnd w:id="496"/>
    </w:p>
    <w:p w14:paraId="18661BA4">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加油站是消防安全的重点单位。针对加油站发生火灾、爆炸的具体原因，提出下列安全对策措施：</w:t>
      </w:r>
    </w:p>
    <w:p w14:paraId="1AF1C4CB">
      <w:pPr>
        <w:adjustRightInd w:val="0"/>
        <w:snapToGrid w:val="0"/>
        <w:spacing w:line="500" w:lineRule="exact"/>
        <w:ind w:left="181" w:leftChars="86" w:right="48" w:rightChars="23" w:firstLine="560" w:firstLineChars="200"/>
        <w:rPr>
          <w:rFonts w:ascii="宋体" w:hAnsi="宋体"/>
          <w:sz w:val="28"/>
          <w:szCs w:val="28"/>
          <w:lang w:val="zh-CN"/>
        </w:rPr>
      </w:pPr>
      <w:r>
        <w:rPr>
          <w:rFonts w:ascii="宋体" w:hAnsi="宋体"/>
          <w:sz w:val="28"/>
          <w:szCs w:val="28"/>
          <w:lang w:val="zh-CN"/>
        </w:rPr>
        <w:t>1.消除可燃物的安全措施</w:t>
      </w:r>
    </w:p>
    <w:p w14:paraId="5162D7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①加强卸油、加油作业管理，尽量避免油品泼洒在地上，及时清除地上污油，保持作业场所清洁干净</w:t>
      </w:r>
      <w:r>
        <w:rPr>
          <w:rFonts w:hint="eastAsia" w:ascii="宋体" w:hAnsi="宋体"/>
          <w:sz w:val="28"/>
          <w:szCs w:val="28"/>
          <w:lang w:val="zh-CN"/>
        </w:rPr>
        <w:t>；</w:t>
      </w:r>
    </w:p>
    <w:p w14:paraId="1D4FF46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②定期检查储油、装卸油设备设施，保证加油站设备正常安全运行</w:t>
      </w:r>
      <w:r>
        <w:rPr>
          <w:rFonts w:hint="eastAsia" w:ascii="宋体" w:hAnsi="宋体"/>
          <w:sz w:val="28"/>
          <w:szCs w:val="28"/>
          <w:lang w:val="zh-CN"/>
        </w:rPr>
        <w:t>；</w:t>
      </w:r>
    </w:p>
    <w:p w14:paraId="3209389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③含污油的废水不能直接通过排水沟排除场外，必须经处理回收污油后才可排放，以防止积聚在沟中的油气互相串通，引发火灾</w:t>
      </w:r>
      <w:r>
        <w:rPr>
          <w:rFonts w:hint="eastAsia" w:ascii="宋体" w:hAnsi="宋体"/>
          <w:sz w:val="28"/>
          <w:szCs w:val="28"/>
          <w:lang w:val="zh-CN"/>
        </w:rPr>
        <w:t>；</w:t>
      </w:r>
    </w:p>
    <w:p w14:paraId="11E93EA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4 \* GB3</w:instrText>
      </w:r>
      <w:r>
        <w:rPr>
          <w:rFonts w:ascii="宋体" w:hAnsi="宋体"/>
          <w:sz w:val="28"/>
          <w:szCs w:val="28"/>
          <w:lang w:val="zh-CN"/>
        </w:rPr>
        <w:fldChar w:fldCharType="separate"/>
      </w:r>
      <w:r>
        <w:rPr>
          <w:rFonts w:hint="eastAsia" w:ascii="宋体" w:hAnsi="宋体"/>
          <w:sz w:val="28"/>
          <w:szCs w:val="28"/>
          <w:lang w:val="zh-CN"/>
        </w:rPr>
        <w:t>④</w:t>
      </w:r>
      <w:r>
        <w:rPr>
          <w:rFonts w:ascii="宋体" w:hAnsi="宋体"/>
          <w:sz w:val="28"/>
          <w:szCs w:val="28"/>
          <w:lang w:val="zh-CN"/>
        </w:rPr>
        <w:fldChar w:fldCharType="end"/>
      </w:r>
      <w:r>
        <w:rPr>
          <w:rFonts w:hint="eastAsia" w:ascii="宋体" w:hAnsi="宋体"/>
          <w:sz w:val="28"/>
          <w:szCs w:val="28"/>
          <w:lang w:val="zh-CN"/>
        </w:rPr>
        <w:t>加强经营性餐厅（食堂）的柴油灶用火管理，对外开窗。</w:t>
      </w:r>
    </w:p>
    <w:p w14:paraId="39638DE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2.消除点火源的安全措施</w:t>
      </w:r>
    </w:p>
    <w:p w14:paraId="07DE014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消除点火源是加油站防火、防爆最有效的安全措施。生产运行管理应采取以下安全防范措施：</w:t>
      </w:r>
    </w:p>
    <w:p w14:paraId="0AB7E6D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（1）防止明火管理措施</w:t>
      </w:r>
    </w:p>
    <w:p w14:paraId="68136E9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①在爆炸危险区动火时，应按相应管理制度办理动火票，检测可燃气体浓度。严禁违反作业规程盲目动火、收工后留有火种、无现场监理人员在现场时动火； </w:t>
      </w:r>
    </w:p>
    <w:p w14:paraId="59C8EDDB">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②严格限制带其它明火进入加油站；</w:t>
      </w:r>
    </w:p>
    <w:p w14:paraId="066BC0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3 \* GB3</w:instrText>
      </w:r>
      <w:r>
        <w:rPr>
          <w:rFonts w:ascii="宋体" w:hAnsi="宋体"/>
          <w:sz w:val="28"/>
          <w:szCs w:val="28"/>
          <w:lang w:val="zh-CN"/>
        </w:rPr>
        <w:fldChar w:fldCharType="separate"/>
      </w:r>
      <w:r>
        <w:rPr>
          <w:rFonts w:hint="eastAsia" w:ascii="宋体" w:hAnsi="宋体"/>
          <w:sz w:val="28"/>
          <w:szCs w:val="28"/>
          <w:lang w:val="zh-CN"/>
        </w:rPr>
        <w:t>③</w:t>
      </w:r>
      <w:r>
        <w:rPr>
          <w:rFonts w:ascii="宋体" w:hAnsi="宋体"/>
          <w:sz w:val="28"/>
          <w:szCs w:val="28"/>
          <w:lang w:val="zh-CN"/>
        </w:rPr>
        <w:fldChar w:fldCharType="end"/>
      </w:r>
      <w:r>
        <w:rPr>
          <w:rFonts w:hint="eastAsia" w:ascii="宋体" w:hAnsi="宋体"/>
          <w:sz w:val="28"/>
          <w:szCs w:val="28"/>
          <w:lang w:val="zh-CN"/>
        </w:rPr>
        <w:t>经营性餐厅（食堂）的柴油灶用明火时，应对外开窗，加强管理。</w:t>
      </w:r>
    </w:p>
    <w:p w14:paraId="04447D28">
      <w:pPr>
        <w:tabs>
          <w:tab w:val="left" w:pos="54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（2）防止撞击起火的管理措施</w:t>
      </w:r>
    </w:p>
    <w:p w14:paraId="1657BF3B">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禁止在各爆炸危险区域敲打铁器； </w:t>
      </w:r>
    </w:p>
    <w:p w14:paraId="727CD92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（3）防止电器起火的管理措施</w:t>
      </w:r>
    </w:p>
    <w:p w14:paraId="7597F09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①各爆炸危险区域禁止使用非防爆电器；</w:t>
      </w:r>
    </w:p>
    <w:p w14:paraId="734FB58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②定期对各防爆电器进行检测，及时更换失效的防爆电器</w:t>
      </w:r>
      <w:r>
        <w:rPr>
          <w:rFonts w:hint="eastAsia" w:ascii="宋体" w:hAnsi="宋体"/>
          <w:sz w:val="28"/>
          <w:szCs w:val="28"/>
          <w:lang w:val="zh-CN"/>
        </w:rPr>
        <w:t>。</w:t>
      </w:r>
    </w:p>
    <w:p w14:paraId="4AD4983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（4）防止静电起火的管理措施</w:t>
      </w:r>
    </w:p>
    <w:p w14:paraId="312833F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①避免静电聚集；</w:t>
      </w:r>
    </w:p>
    <w:p w14:paraId="4FBB01F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②定期检查各静电接地装置，及时更换失效的静电接地装置；</w:t>
      </w:r>
    </w:p>
    <w:p w14:paraId="50B21A31">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③严格按操作规程作业</w:t>
      </w:r>
      <w:r>
        <w:rPr>
          <w:rFonts w:hint="eastAsia" w:ascii="宋体" w:hAnsi="宋体"/>
          <w:sz w:val="28"/>
          <w:szCs w:val="28"/>
          <w:lang w:val="zh-CN"/>
        </w:rPr>
        <w:t>。</w:t>
      </w:r>
    </w:p>
    <w:p w14:paraId="59C4F2B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（5）防止雷击起火的管理措施</w:t>
      </w:r>
    </w:p>
    <w:p w14:paraId="1D6E811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①定期请有资质的单位对防雷设施设备进行检测，对不符合规范要求的应及时整改；</w:t>
      </w:r>
    </w:p>
    <w:p w14:paraId="596C6E88">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②加油站的装卸场地应设置为油罐车跨接的防静电装置。</w:t>
      </w:r>
    </w:p>
    <w:p w14:paraId="65B239D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（6）防止电气火花的管理措施</w:t>
      </w:r>
    </w:p>
    <w:p w14:paraId="635AC5D9">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①爆炸危险区域和火灾危险区域内的电气设备选型、安装、电力线路敷设，应符合GB50058-92中的有关要求。加油岛附近应设置移动通信设备屏蔽装置。</w:t>
      </w:r>
    </w:p>
    <w:p w14:paraId="5D84F2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（7）预防摩擦起火的管理措施</w:t>
      </w:r>
    </w:p>
    <w:p w14:paraId="6CE6567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在爆炸和火灾危险区域应采取下列防止火花产生的措施：</w:t>
      </w:r>
    </w:p>
    <w:p w14:paraId="20D8F10C">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①机械转动部件应保证润滑良好，及时加油并经常清除可燃污垢；</w:t>
      </w:r>
    </w:p>
    <w:p w14:paraId="0BF217BD">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 xml:space="preserve">②输送可燃气体或液体的管道，应定期进行耐压试验； </w:t>
      </w:r>
    </w:p>
    <w:p w14:paraId="60D6F281">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③爆炸危险区域内的房间地面应铺设不发生火花的材料，禁止穿带铁钉的鞋；</w:t>
      </w:r>
    </w:p>
    <w:p w14:paraId="1720F480">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④搬运金属容器时，严禁在地上抛掷或拖拉，在容器可能碰撞部位应覆盖不发生火花的材料；</w:t>
      </w:r>
    </w:p>
    <w:p w14:paraId="4A10C841">
      <w:pPr>
        <w:autoSpaceDE w:val="0"/>
        <w:autoSpaceDN w:val="0"/>
        <w:adjustRightInd w:val="0"/>
        <w:spacing w:line="500" w:lineRule="exact"/>
        <w:ind w:firstLine="420" w:firstLineChars="150"/>
        <w:rPr>
          <w:rFonts w:ascii="宋体" w:hAnsi="宋体"/>
          <w:sz w:val="28"/>
          <w:szCs w:val="28"/>
          <w:lang w:val="zh-CN"/>
        </w:rPr>
      </w:pPr>
      <w:r>
        <w:rPr>
          <w:rFonts w:ascii="宋体" w:hAnsi="宋体"/>
          <w:sz w:val="28"/>
          <w:szCs w:val="28"/>
          <w:lang w:val="zh-CN"/>
        </w:rPr>
        <w:t>⑤维修作业应使用防爆工具。</w:t>
      </w:r>
    </w:p>
    <w:p w14:paraId="5E0EE535">
      <w:pPr>
        <w:spacing w:line="500" w:lineRule="exact"/>
        <w:ind w:firstLine="560" w:firstLineChars="200"/>
        <w:rPr>
          <w:rFonts w:ascii="宋体" w:hAnsi="宋体"/>
          <w:sz w:val="28"/>
          <w:szCs w:val="28"/>
        </w:rPr>
      </w:pPr>
      <w:r>
        <w:rPr>
          <w:rFonts w:ascii="宋体" w:hAnsi="宋体"/>
          <w:sz w:val="28"/>
          <w:szCs w:val="28"/>
          <w:lang w:val="zh-CN"/>
        </w:rPr>
        <w:t>（8）</w:t>
      </w:r>
      <w:r>
        <w:rPr>
          <w:rFonts w:ascii="宋体" w:hAnsi="宋体"/>
          <w:sz w:val="28"/>
          <w:szCs w:val="28"/>
        </w:rPr>
        <w:t>减少或避免因人的不安全行为而造成的泄漏、火灾、爆炸事故发生的有效办法之一，是加强安全技术教育培训与安全管理。</w:t>
      </w:r>
    </w:p>
    <w:p w14:paraId="56EB0173">
      <w:pPr>
        <w:pStyle w:val="4"/>
        <w:spacing w:afterLines="100" w:line="500" w:lineRule="exact"/>
        <w:rPr>
          <w:rFonts w:ascii="黑体" w:hAnsi="宋体"/>
          <w:kern w:val="3"/>
          <w:sz w:val="28"/>
          <w:szCs w:val="28"/>
        </w:rPr>
      </w:pPr>
      <w:bookmarkStart w:id="497" w:name="_Toc30455"/>
      <w:bookmarkStart w:id="498" w:name="_Toc313863578"/>
      <w:bookmarkStart w:id="499" w:name="_Toc377463205"/>
      <w:bookmarkStart w:id="500" w:name="_Toc7189496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.2油品泄漏对策措施</w:t>
      </w:r>
      <w:bookmarkEnd w:id="497"/>
      <w:bookmarkEnd w:id="498"/>
      <w:bookmarkEnd w:id="499"/>
      <w:bookmarkEnd w:id="500"/>
    </w:p>
    <w:p w14:paraId="71CDF604">
      <w:pPr>
        <w:spacing w:line="500" w:lineRule="exact"/>
        <w:ind w:firstLine="420" w:firstLineChars="150"/>
        <w:rPr>
          <w:rFonts w:ascii="宋体" w:hAnsi="宋体"/>
          <w:sz w:val="28"/>
          <w:szCs w:val="28"/>
        </w:rPr>
      </w:pPr>
      <w:r>
        <w:rPr>
          <w:rFonts w:hint="eastAsia" w:ascii="宋体" w:hAnsi="宋体"/>
          <w:sz w:val="28"/>
          <w:szCs w:val="28"/>
        </w:rPr>
        <w:t>1.</w:t>
      </w:r>
      <w:r>
        <w:rPr>
          <w:rFonts w:ascii="宋体" w:hAnsi="宋体"/>
          <w:sz w:val="28"/>
          <w:szCs w:val="28"/>
        </w:rPr>
        <w:t>应保证罐体的质量，罐体设计、选材、制造及现场安装等各个阶段都应严格按照相关规范认真落实，投产运营之后应定期对焊接点、接口、法兰、附件连接处进行检查。</w:t>
      </w:r>
    </w:p>
    <w:p w14:paraId="21E86EEE">
      <w:pPr>
        <w:spacing w:line="500" w:lineRule="exact"/>
        <w:ind w:firstLine="420" w:firstLineChars="150"/>
        <w:rPr>
          <w:rFonts w:ascii="宋体" w:hAnsi="宋体"/>
          <w:sz w:val="28"/>
          <w:szCs w:val="28"/>
        </w:rPr>
      </w:pPr>
      <w:r>
        <w:rPr>
          <w:rFonts w:hint="eastAsia" w:ascii="宋体" w:hAnsi="宋体"/>
          <w:sz w:val="28"/>
          <w:szCs w:val="28"/>
        </w:rPr>
        <w:t>2.</w:t>
      </w:r>
      <w:r>
        <w:rPr>
          <w:rFonts w:ascii="宋体" w:hAnsi="宋体"/>
          <w:sz w:val="28"/>
          <w:szCs w:val="28"/>
        </w:rPr>
        <w:t>加油站应对油罐采取一定的抗上浮措施，如在油罐区设置观察井，油罐安装时浇注梁设置安全扣腰带或对罐体采取抗浮锚固措施等。</w:t>
      </w:r>
    </w:p>
    <w:p w14:paraId="51930AB4">
      <w:pPr>
        <w:spacing w:line="500" w:lineRule="exact"/>
        <w:ind w:firstLine="420" w:firstLineChars="150"/>
        <w:rPr>
          <w:rFonts w:ascii="宋体" w:hAnsi="宋体"/>
          <w:sz w:val="28"/>
          <w:szCs w:val="28"/>
        </w:rPr>
      </w:pPr>
      <w:r>
        <w:rPr>
          <w:rFonts w:hint="eastAsia" w:ascii="宋体" w:hAnsi="宋体"/>
          <w:sz w:val="28"/>
          <w:szCs w:val="28"/>
        </w:rPr>
        <w:t>3.</w:t>
      </w:r>
      <w:r>
        <w:rPr>
          <w:rFonts w:ascii="宋体" w:hAnsi="宋体"/>
          <w:sz w:val="28"/>
          <w:szCs w:val="28"/>
        </w:rPr>
        <w:t>输送泵、管道、管件等设备的使用年限应在使用期限内。</w:t>
      </w:r>
    </w:p>
    <w:p w14:paraId="5D6D96B3">
      <w:pPr>
        <w:spacing w:line="500" w:lineRule="exact"/>
        <w:ind w:firstLine="420" w:firstLineChars="150"/>
        <w:rPr>
          <w:rFonts w:ascii="宋体" w:hAnsi="宋体"/>
          <w:sz w:val="28"/>
          <w:szCs w:val="28"/>
        </w:rPr>
      </w:pPr>
      <w:r>
        <w:rPr>
          <w:rFonts w:hint="eastAsia" w:ascii="宋体" w:hAnsi="宋体"/>
          <w:sz w:val="28"/>
          <w:szCs w:val="28"/>
        </w:rPr>
        <w:t>4.</w:t>
      </w:r>
      <w:r>
        <w:rPr>
          <w:rFonts w:ascii="宋体" w:hAnsi="宋体"/>
          <w:sz w:val="28"/>
          <w:szCs w:val="28"/>
        </w:rPr>
        <w:t>站区选址应符合</w:t>
      </w:r>
      <w:r>
        <w:rPr>
          <w:rFonts w:hint="eastAsia" w:ascii="宋体" w:hAnsi="宋体"/>
          <w:sz w:val="28"/>
          <w:szCs w:val="28"/>
        </w:rPr>
        <w:t>《汽车加油加气加氢站技术标准》（GB50156-2021）</w:t>
      </w:r>
      <w:r>
        <w:rPr>
          <w:rFonts w:ascii="宋体" w:hAnsi="宋体"/>
          <w:sz w:val="28"/>
          <w:szCs w:val="28"/>
        </w:rPr>
        <w:t>的相关要求。</w:t>
      </w:r>
    </w:p>
    <w:p w14:paraId="65A8B258">
      <w:pPr>
        <w:pStyle w:val="4"/>
        <w:spacing w:afterLines="100" w:line="500" w:lineRule="exact"/>
        <w:rPr>
          <w:rFonts w:ascii="黑体" w:hAnsi="宋体"/>
          <w:kern w:val="3"/>
          <w:sz w:val="28"/>
          <w:szCs w:val="28"/>
        </w:rPr>
      </w:pPr>
      <w:bookmarkStart w:id="501" w:name="_Toc308538501"/>
      <w:bookmarkStart w:id="502" w:name="_Toc308429848"/>
      <w:bookmarkStart w:id="503" w:name="_Toc377463206"/>
      <w:bookmarkStart w:id="504" w:name="_Toc313863579"/>
      <w:bookmarkStart w:id="505" w:name="_Toc20125"/>
      <w:bookmarkStart w:id="506" w:name="_Toc71894966"/>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bookmarkEnd w:id="501"/>
      <w:bookmarkEnd w:id="502"/>
      <w:r>
        <w:rPr>
          <w:rFonts w:ascii="黑体" w:hAnsi="宋体"/>
          <w:kern w:val="3"/>
          <w:sz w:val="28"/>
          <w:szCs w:val="28"/>
        </w:rPr>
        <w:t>3 防中毒窒息对策措施</w:t>
      </w:r>
      <w:bookmarkEnd w:id="503"/>
      <w:bookmarkEnd w:id="504"/>
      <w:bookmarkEnd w:id="505"/>
      <w:bookmarkEnd w:id="506"/>
    </w:p>
    <w:p w14:paraId="1651B9AE">
      <w:pPr>
        <w:autoSpaceDE w:val="0"/>
        <w:autoSpaceDN w:val="0"/>
        <w:adjustRightInd w:val="0"/>
        <w:spacing w:line="500" w:lineRule="exact"/>
        <w:ind w:firstLine="560"/>
        <w:rPr>
          <w:rFonts w:ascii="宋体" w:hAnsi="宋体"/>
          <w:sz w:val="28"/>
          <w:szCs w:val="28"/>
          <w:lang w:val="zh-CN"/>
        </w:rPr>
      </w:pPr>
      <w:r>
        <w:rPr>
          <w:rFonts w:ascii="宋体" w:hAnsi="宋体"/>
          <w:sz w:val="28"/>
          <w:szCs w:val="28"/>
        </w:rPr>
        <w:t>佩戴合适的防毒面具或加强通风以保证罐内氧含量符合要求，是</w:t>
      </w:r>
      <w:r>
        <w:rPr>
          <w:rFonts w:ascii="宋体" w:hAnsi="宋体"/>
          <w:sz w:val="28"/>
          <w:szCs w:val="28"/>
          <w:lang w:val="zh-CN"/>
        </w:rPr>
        <w:t>罐内动火作业时防止中毒窒息的关键。</w:t>
      </w:r>
    </w:p>
    <w:p w14:paraId="2163DFEC">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彻底排气和通风</w:t>
      </w:r>
    </w:p>
    <w:p w14:paraId="0A4A8A4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彻底排气和通风能增加氧气含量、降低油气浓度，防止中毒和窒息。做好罐内气体检测。油罐内气体检测的合格指标为：氧气含量在16％～21％，可燃气体环境爆炸危险度小于25％，油气浓度低于300mg／m</w:t>
      </w:r>
      <w:r>
        <w:rPr>
          <w:rFonts w:ascii="宋体" w:hAnsi="宋体"/>
          <w:sz w:val="28"/>
          <w:szCs w:val="28"/>
          <w:vertAlign w:val="superscript"/>
          <w:lang w:val="zh-CN"/>
        </w:rPr>
        <w:t>3</w:t>
      </w:r>
      <w:r>
        <w:rPr>
          <w:rFonts w:ascii="宋体" w:hAnsi="宋体"/>
          <w:sz w:val="28"/>
          <w:szCs w:val="28"/>
          <w:lang w:val="zh-CN"/>
        </w:rPr>
        <w:t>。</w:t>
      </w:r>
    </w:p>
    <w:p w14:paraId="5BC6B5A0">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做好进罐作业人员的监护</w:t>
      </w:r>
    </w:p>
    <w:p w14:paraId="6A02CBE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罐作业期间，罐外必须有人监护，观察罐内作业人员情况，及时联系。监护人员做好进出罐人员的清点、登记，并随时监测油气浓度。作业人员进罐作业期间必须有充足的照明。一方面有利于施工作业，特别是隐蔽处和死角处作业；另一方面防止刮、碰、摔等伤害的发生。</w:t>
      </w:r>
    </w:p>
    <w:p w14:paraId="643E77AE">
      <w:pPr>
        <w:pStyle w:val="4"/>
        <w:spacing w:afterLines="100" w:line="500" w:lineRule="exact"/>
        <w:rPr>
          <w:rFonts w:ascii="黑体" w:hAnsi="宋体"/>
          <w:kern w:val="3"/>
          <w:sz w:val="28"/>
          <w:szCs w:val="28"/>
        </w:rPr>
      </w:pPr>
      <w:bookmarkStart w:id="507" w:name="_Toc2263"/>
      <w:bookmarkStart w:id="508" w:name="_Toc377463207"/>
      <w:bookmarkStart w:id="509" w:name="_Toc71894967"/>
      <w:bookmarkStart w:id="510" w:name="_Toc313863580"/>
      <w:bookmarkStart w:id="511" w:name="_Toc237320049"/>
      <w:bookmarkStart w:id="512" w:name="_Toc241652169"/>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.4电气系统安全措施</w:t>
      </w:r>
      <w:bookmarkEnd w:id="507"/>
      <w:bookmarkEnd w:id="508"/>
      <w:bookmarkEnd w:id="509"/>
      <w:bookmarkEnd w:id="510"/>
      <w:bookmarkEnd w:id="511"/>
      <w:bookmarkEnd w:id="512"/>
    </w:p>
    <w:p w14:paraId="086F473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1.电气线路敷设应做到：</w:t>
      </w:r>
    </w:p>
    <w:p w14:paraId="20F9BF44">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易燃易爆场所选用防爆型电器。</w:t>
      </w:r>
    </w:p>
    <w:p w14:paraId="4D203836">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火灾危险场所，应采用钢管布线或阻燃性电缆。</w:t>
      </w:r>
    </w:p>
    <w:p w14:paraId="2E2773A3">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（3）</w:t>
      </w:r>
      <w:r>
        <w:rPr>
          <w:rFonts w:ascii="宋体" w:hAnsi="宋体"/>
          <w:sz w:val="28"/>
          <w:szCs w:val="28"/>
          <w:lang w:val="zh-CN"/>
        </w:rPr>
        <w:t>易燃易爆场所的电气设备应设置短路保护。</w:t>
      </w:r>
    </w:p>
    <w:p w14:paraId="5652D74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2.作业人员必须检查整个导电系统，在操作和检查过程中发现绝缘破损、紧固处松脱、短网接线发红等情况应立即停电检修。</w:t>
      </w:r>
    </w:p>
    <w:p w14:paraId="31FD7F6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3.严禁用易导电器具接触、碰撞带电设备的任一部位。</w:t>
      </w:r>
    </w:p>
    <w:p w14:paraId="746B6B67">
      <w:pPr>
        <w:pStyle w:val="4"/>
        <w:spacing w:afterLines="100" w:line="500" w:lineRule="exact"/>
        <w:rPr>
          <w:rFonts w:ascii="黑体" w:hAnsi="宋体"/>
          <w:kern w:val="3"/>
          <w:sz w:val="28"/>
          <w:szCs w:val="28"/>
        </w:rPr>
      </w:pPr>
      <w:bookmarkStart w:id="513" w:name="_Toc21"/>
      <w:bookmarkStart w:id="514" w:name="_Toc377463208"/>
      <w:bookmarkStart w:id="515" w:name="_Toc71894968"/>
      <w:bookmarkStart w:id="516" w:name="_Toc31386358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.5装置安全对策措施</w:t>
      </w:r>
      <w:bookmarkEnd w:id="513"/>
      <w:bookmarkEnd w:id="514"/>
      <w:bookmarkEnd w:id="515"/>
      <w:bookmarkEnd w:id="516"/>
    </w:p>
    <w:p w14:paraId="0F0BF02D">
      <w:pPr>
        <w:numPr>
          <w:ilvl w:val="0"/>
          <w:numId w:val="11"/>
        </w:numPr>
        <w:spacing w:line="500" w:lineRule="exact"/>
        <w:ind w:firstLine="120"/>
        <w:rPr>
          <w:rFonts w:ascii="宋体" w:hAnsi="宋体"/>
          <w:sz w:val="28"/>
          <w:szCs w:val="28"/>
        </w:rPr>
      </w:pPr>
      <w:r>
        <w:rPr>
          <w:rFonts w:ascii="宋体" w:hAnsi="宋体"/>
          <w:sz w:val="28"/>
          <w:szCs w:val="28"/>
        </w:rPr>
        <w:t>加油机安全措施</w:t>
      </w:r>
    </w:p>
    <w:p w14:paraId="3CDCF172">
      <w:pPr>
        <w:spacing w:line="500" w:lineRule="exact"/>
        <w:ind w:firstLine="280" w:firstLineChars="100"/>
        <w:rPr>
          <w:rFonts w:ascii="宋体" w:hAnsi="宋体"/>
          <w:kern w:val="3"/>
          <w:sz w:val="28"/>
          <w:szCs w:val="28"/>
        </w:rPr>
      </w:pPr>
      <w:r>
        <w:rPr>
          <w:rFonts w:ascii="宋体" w:hAnsi="宋体"/>
          <w:kern w:val="3"/>
          <w:sz w:val="28"/>
          <w:szCs w:val="28"/>
        </w:rPr>
        <w:t>（1）加油机是加油站运行设备的重要部分。正确安装、调试、使用和检修加油机（尤其是加油机防爆接线盒的密封垫、加油枪与输油橡胶管内金属接地线连接、防雷防静电接地等）是有效减少和避免加油机发生危险的有效办法。</w:t>
      </w:r>
    </w:p>
    <w:p w14:paraId="7CFBDF70">
      <w:pPr>
        <w:spacing w:line="500" w:lineRule="exact"/>
        <w:ind w:firstLine="280" w:firstLineChars="100"/>
        <w:rPr>
          <w:rFonts w:ascii="宋体" w:hAnsi="宋体"/>
          <w:kern w:val="3"/>
          <w:sz w:val="28"/>
          <w:szCs w:val="28"/>
        </w:rPr>
      </w:pPr>
      <w:r>
        <w:rPr>
          <w:rFonts w:ascii="宋体" w:hAnsi="宋体"/>
          <w:kern w:val="3"/>
          <w:sz w:val="28"/>
          <w:szCs w:val="28"/>
        </w:rPr>
        <w:t>（2）使用合格的加油机，并保证加油机安装质量合格。</w:t>
      </w:r>
    </w:p>
    <w:p w14:paraId="0AEDF0FE">
      <w:pPr>
        <w:numPr>
          <w:ilvl w:val="0"/>
          <w:numId w:val="11"/>
        </w:numPr>
        <w:spacing w:line="500" w:lineRule="exact"/>
        <w:ind w:firstLine="120"/>
        <w:rPr>
          <w:rFonts w:ascii="宋体" w:hAnsi="宋体"/>
          <w:sz w:val="28"/>
          <w:szCs w:val="28"/>
        </w:rPr>
      </w:pPr>
      <w:r>
        <w:rPr>
          <w:rFonts w:ascii="宋体" w:hAnsi="宋体"/>
          <w:sz w:val="28"/>
          <w:szCs w:val="28"/>
        </w:rPr>
        <w:t>油罐和管道的安全措施</w:t>
      </w:r>
    </w:p>
    <w:p w14:paraId="1345DCDE">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（1）对油罐应采取防止油罐上浮的措施。</w:t>
      </w:r>
    </w:p>
    <w:p w14:paraId="61F9BFB5">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（2）长期闲置的油品储罐在停止使用时必须进行清洗置换，封存。管路与其他罐之间应采取盲板封堵等隔离措施。到需拆除、报废或重新启用时都必须有严格的作业票证制度和风险分析控制措施。</w:t>
      </w:r>
    </w:p>
    <w:p w14:paraId="4009C95B">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（3）应定期请相关部门进行防雷防静电检测，并对存在问题进行整改。</w:t>
      </w:r>
    </w:p>
    <w:p w14:paraId="05AD23AD">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（4）加油站钢制油罐的罐体结构设计、罐体和封头所用的钢板公称直径应符合</w:t>
      </w:r>
      <w:r>
        <w:rPr>
          <w:rFonts w:hint="eastAsia" w:ascii="宋体" w:hAnsi="宋体"/>
          <w:sz w:val="28"/>
          <w:szCs w:val="28"/>
          <w:lang w:val="zh-CN"/>
        </w:rPr>
        <w:t>《汽车加油加气加氢站技术标准》（GB50156-2021）</w:t>
      </w:r>
      <w:r>
        <w:rPr>
          <w:rFonts w:ascii="宋体" w:hAnsi="宋体"/>
          <w:sz w:val="28"/>
          <w:szCs w:val="28"/>
          <w:lang w:val="zh-CN"/>
        </w:rPr>
        <w:t xml:space="preserve"> 第6.1.4条的规定。</w:t>
      </w:r>
    </w:p>
    <w:p w14:paraId="0A3C1614">
      <w:pPr>
        <w:pStyle w:val="4"/>
        <w:spacing w:afterLines="100" w:line="500" w:lineRule="exact"/>
        <w:rPr>
          <w:rFonts w:ascii="黑体" w:hAnsi="宋体"/>
          <w:kern w:val="3"/>
          <w:sz w:val="28"/>
          <w:szCs w:val="28"/>
        </w:rPr>
      </w:pPr>
      <w:bookmarkStart w:id="517" w:name="_Toc237320050"/>
      <w:bookmarkStart w:id="518" w:name="_Toc241652170"/>
      <w:bookmarkStart w:id="519" w:name="_Toc377463209"/>
      <w:bookmarkStart w:id="520" w:name="_Toc11332"/>
      <w:bookmarkStart w:id="521" w:name="_Toc71894969"/>
      <w:bookmarkStart w:id="522" w:name="_Toc313863582"/>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6防雷、防静电措施</w:t>
      </w:r>
      <w:bookmarkEnd w:id="517"/>
      <w:bookmarkEnd w:id="518"/>
      <w:bookmarkEnd w:id="519"/>
      <w:bookmarkEnd w:id="520"/>
      <w:bookmarkEnd w:id="521"/>
      <w:bookmarkEnd w:id="522"/>
      <w:r>
        <w:rPr>
          <w:rFonts w:ascii="黑体" w:hAnsi="宋体"/>
          <w:kern w:val="3"/>
          <w:sz w:val="28"/>
          <w:szCs w:val="28"/>
        </w:rPr>
        <w:tab/>
      </w:r>
    </w:p>
    <w:p w14:paraId="45C8DEB3">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1.加油站在经营过程中，防雷、防静电设施必须定期请有资质的单位对其进行检测，并出具合格的检测报告。</w:t>
      </w:r>
    </w:p>
    <w:p w14:paraId="5F96766A">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2.防直击雷措施：宜采用装设在建筑物上的接闪器（避雷针、避雷线、雷带、避雷网）、引下线、接地装置等避雷装置（每根引下线的冲击接地电阻≤10Ω）并采取等电位连接。</w:t>
      </w:r>
    </w:p>
    <w:p w14:paraId="255956F2">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3.防雷电感应措施：将建筑物内设备、管道构架等主要金属物就近接地（其工频接地电阻≤10Ω），平行长金属物间的净距小于100 mm时应采用金属线跨接。</w:t>
      </w:r>
    </w:p>
    <w:p w14:paraId="06964688">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4.防雷电波侵入措施：低压线路全长采用埋地电缆引入时，入户端应将电缆金属外皮（套管）接地。对于存在爆炸危险环境的区域，其入户端电缆金属外皮（套管）除接地外，还应与防雷的接地装置相连。</w:t>
      </w:r>
    </w:p>
    <w:p w14:paraId="42B00B1E">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5.为了保持防雷装置有良好的保护性能，应对其进行经常性检查和定期试验。对于避雷针、引下线和接地装置，应检查其是否完好，各部分连接、防护是否良好。对防雷接地装置和其它接地装置一样，应定期进行检查和测定其接地电阻。</w:t>
      </w:r>
    </w:p>
    <w:p w14:paraId="7004DAD4">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6.严禁在装有避雷针、避雷线的构筑物上架设通讯线、广播线或低压线。</w:t>
      </w:r>
    </w:p>
    <w:p w14:paraId="2B09CAFA">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7.装置防雷级别应按不低于2类设计，运营前应取得法定检测部门的防雷、静电检测合格报告，运营过程中应按要求定期接受检测。</w:t>
      </w:r>
    </w:p>
    <w:p w14:paraId="46B9A946">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8.平行布置的间距小于100mm金属管道或交叉距离小于100mm的金属管道，应设防雷电感应装置，防雷电感应装置可与防静电装置联合设置。</w:t>
      </w:r>
    </w:p>
    <w:p w14:paraId="0A551A35">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9.在爆炸危险场所的工作人员禁止穿戴化纤、丝绸衣物和带铁掌的鞋，应穿戴防静电的工作鞋、手套、衣物。</w:t>
      </w:r>
    </w:p>
    <w:p w14:paraId="03B51008">
      <w:pPr>
        <w:pStyle w:val="4"/>
        <w:spacing w:afterLines="100" w:line="500" w:lineRule="exact"/>
        <w:rPr>
          <w:rFonts w:ascii="黑体" w:hAnsi="宋体"/>
          <w:kern w:val="3"/>
          <w:sz w:val="28"/>
          <w:szCs w:val="28"/>
        </w:rPr>
      </w:pPr>
      <w:bookmarkStart w:id="523" w:name="_Toc71894970"/>
      <w:bookmarkStart w:id="524" w:name="_Toc996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.7防</w:t>
      </w:r>
      <w:r>
        <w:rPr>
          <w:rFonts w:hint="eastAsia" w:ascii="黑体" w:hAnsi="宋体"/>
          <w:kern w:val="3"/>
          <w:sz w:val="28"/>
          <w:szCs w:val="28"/>
        </w:rPr>
        <w:t>渗漏、溢满措施</w:t>
      </w:r>
      <w:bookmarkEnd w:id="523"/>
      <w:bookmarkEnd w:id="524"/>
    </w:p>
    <w:p w14:paraId="75C34021">
      <w:pPr>
        <w:autoSpaceDE w:val="0"/>
        <w:autoSpaceDN w:val="0"/>
        <w:adjustRightInd w:val="0"/>
        <w:spacing w:line="500" w:lineRule="exact"/>
        <w:ind w:firstLine="560" w:firstLineChars="200"/>
        <w:rPr>
          <w:rFonts w:ascii="宋体" w:hAnsi="宋体"/>
          <w:sz w:val="28"/>
          <w:szCs w:val="28"/>
          <w:lang w:val="zh-CN"/>
        </w:rPr>
      </w:pPr>
      <w:r>
        <w:rPr>
          <w:rFonts w:hint="eastAsia" w:ascii="宋体" w:hAnsi="宋体"/>
          <w:kern w:val="3"/>
          <w:sz w:val="28"/>
          <w:szCs w:val="28"/>
        </w:rPr>
        <w:t>加油站应根据</w:t>
      </w:r>
      <w:r>
        <w:rPr>
          <w:rFonts w:hint="eastAsia" w:ascii="宋体" w:hAnsi="宋体"/>
          <w:kern w:val="3"/>
          <w:sz w:val="28"/>
          <w:szCs w:val="28"/>
          <w:lang w:val="zh-CN"/>
        </w:rPr>
        <w:t>《汽车加油加气加氢站技术标准》（GB50156-2021）第</w:t>
      </w:r>
      <w:r>
        <w:rPr>
          <w:rFonts w:hint="eastAsia" w:ascii="宋体" w:hAnsi="宋体"/>
          <w:kern w:val="3"/>
          <w:sz w:val="28"/>
          <w:szCs w:val="28"/>
        </w:rPr>
        <w:t>6.1.14的规范，对</w:t>
      </w:r>
      <w:r>
        <w:rPr>
          <w:rFonts w:hint="eastAsia" w:ascii="宋体" w:hAnsi="宋体"/>
          <w:sz w:val="28"/>
          <w:szCs w:val="28"/>
          <w:lang w:val="zh-CN"/>
        </w:rPr>
        <w:t>单层油罐的液位监测系统还应具备渗漏检测功能，其渗漏检测分辨率不应大于</w:t>
      </w:r>
      <w:r>
        <w:rPr>
          <w:rFonts w:hint="eastAsia" w:ascii="宋体" w:hAnsi="宋体"/>
          <w:sz w:val="28"/>
          <w:szCs w:val="28"/>
        </w:rPr>
        <w:t>0.8L/h。</w:t>
      </w:r>
    </w:p>
    <w:p w14:paraId="28B949E4">
      <w:pPr>
        <w:pStyle w:val="4"/>
        <w:spacing w:afterLines="100" w:line="500" w:lineRule="exact"/>
        <w:rPr>
          <w:rFonts w:ascii="黑体" w:hAnsi="宋体"/>
          <w:kern w:val="3"/>
          <w:sz w:val="28"/>
          <w:szCs w:val="28"/>
        </w:rPr>
      </w:pPr>
      <w:bookmarkStart w:id="525" w:name="_Toc241652171"/>
      <w:bookmarkStart w:id="526" w:name="_Toc377463210"/>
      <w:bookmarkStart w:id="527" w:name="_Toc313863583"/>
      <w:bookmarkStart w:id="528" w:name="_Toc71894971"/>
      <w:bookmarkStart w:id="529" w:name="_Toc237320051"/>
      <w:bookmarkStart w:id="530" w:name="_Toc2316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8</w:t>
      </w:r>
      <w:r>
        <w:rPr>
          <w:rFonts w:ascii="黑体" w:hAnsi="宋体"/>
          <w:kern w:val="3"/>
          <w:sz w:val="28"/>
          <w:szCs w:val="28"/>
        </w:rPr>
        <w:t>防高</w:t>
      </w:r>
      <w:r>
        <w:rPr>
          <w:rFonts w:hint="eastAsia" w:ascii="黑体" w:hAnsi="宋体"/>
          <w:kern w:val="3"/>
          <w:sz w:val="28"/>
          <w:szCs w:val="28"/>
        </w:rPr>
        <w:t>处</w:t>
      </w:r>
      <w:r>
        <w:rPr>
          <w:rFonts w:ascii="黑体" w:hAnsi="宋体"/>
          <w:kern w:val="3"/>
          <w:sz w:val="28"/>
          <w:szCs w:val="28"/>
        </w:rPr>
        <w:t>坠落措施</w:t>
      </w:r>
      <w:bookmarkEnd w:id="525"/>
      <w:bookmarkEnd w:id="526"/>
      <w:bookmarkEnd w:id="527"/>
      <w:bookmarkEnd w:id="528"/>
      <w:bookmarkEnd w:id="529"/>
      <w:bookmarkEnd w:id="530"/>
    </w:p>
    <w:p w14:paraId="26FFDF4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1.具有坠落危险的场所，高度超过坠落基面2m的操作平台（包括油罐区平台）要设供站立的平台和防坠落栏杆、安全盖板、防护板等。</w:t>
      </w:r>
    </w:p>
    <w:p w14:paraId="1AA4ED72">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2.在机械吊装作业时应防止高空坠落、碰撞而发生危险。</w:t>
      </w:r>
    </w:p>
    <w:p w14:paraId="7BAAA056">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3.梯子、平台和易滑倒的操作通道地面应有防滑措施。</w:t>
      </w:r>
    </w:p>
    <w:p w14:paraId="1AE68D1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4.对于移动式高台梯、脚手台架，可在底座上加外撑脚、在底座上加压重来增加稳定性，或在作业时设专人监护。在有条件的情况下，尽量采用有防护措施的固定式高架结构。</w:t>
      </w:r>
    </w:p>
    <w:p w14:paraId="1EA8C0F5">
      <w:pPr>
        <w:pStyle w:val="4"/>
        <w:spacing w:afterLines="100" w:line="500" w:lineRule="exact"/>
        <w:rPr>
          <w:rFonts w:ascii="黑体" w:hAnsi="宋体"/>
          <w:kern w:val="3"/>
          <w:sz w:val="28"/>
          <w:szCs w:val="28"/>
        </w:rPr>
      </w:pPr>
      <w:bookmarkStart w:id="531" w:name="_Toc71894972"/>
      <w:bookmarkStart w:id="532" w:name="_Toc12710"/>
      <w:bookmarkStart w:id="533" w:name="_Toc377463211"/>
      <w:bookmarkStart w:id="534" w:name="_Toc313863584"/>
      <w:r>
        <w:rPr>
          <w:rFonts w:ascii="黑体" w:hAnsi="宋体"/>
          <w:kern w:val="3"/>
          <w:sz w:val="28"/>
          <w:szCs w:val="28"/>
        </w:rPr>
        <w:t>7.</w:t>
      </w:r>
      <w:r>
        <w:rPr>
          <w:rFonts w:hint="eastAsia" w:ascii="黑体" w:hAnsi="宋体"/>
          <w:kern w:val="3"/>
          <w:sz w:val="28"/>
          <w:szCs w:val="28"/>
        </w:rPr>
        <w:t>3.9</w:t>
      </w:r>
      <w:r>
        <w:rPr>
          <w:rFonts w:ascii="黑体" w:hAnsi="宋体"/>
          <w:kern w:val="3"/>
          <w:sz w:val="28"/>
          <w:szCs w:val="28"/>
        </w:rPr>
        <w:t>防机械伤害措施</w:t>
      </w:r>
      <w:bookmarkEnd w:id="531"/>
      <w:bookmarkEnd w:id="532"/>
      <w:bookmarkEnd w:id="533"/>
      <w:bookmarkEnd w:id="534"/>
    </w:p>
    <w:p w14:paraId="008FD0F4">
      <w:pPr>
        <w:snapToGrid w:val="0"/>
        <w:spacing w:line="500" w:lineRule="exact"/>
        <w:ind w:firstLine="560" w:firstLineChars="200"/>
        <w:rPr>
          <w:rFonts w:ascii="宋体" w:hAnsi="宋体"/>
          <w:sz w:val="28"/>
          <w:szCs w:val="28"/>
        </w:rPr>
      </w:pPr>
      <w:r>
        <w:rPr>
          <w:rFonts w:ascii="宋体" w:hAnsi="宋体"/>
          <w:sz w:val="28"/>
          <w:szCs w:val="28"/>
        </w:rPr>
        <w:t>在进行检修时，作业人员应在使用机械设备或手持式电动工具前，认真检查作业工具，若工具外露转动部、安全防护装置不完善都禁止继续使用，且操作人员不得违章作业，人体应避免接触运转件。例如：</w:t>
      </w:r>
      <w:r>
        <w:rPr>
          <w:rFonts w:ascii="宋体" w:hAnsi="宋体"/>
          <w:sz w:val="28"/>
          <w:szCs w:val="28"/>
          <w:lang w:val="zh-CN"/>
        </w:rPr>
        <w:t>在对加油机进行检修完成后，应及时将加油机的防护板装好，在进行加油时，从业人员或站外人员应提高警惕，避免接触到加油机的转动部件。</w:t>
      </w:r>
    </w:p>
    <w:p w14:paraId="5EA4750B">
      <w:pPr>
        <w:pStyle w:val="4"/>
        <w:spacing w:afterLines="100" w:line="500" w:lineRule="exact"/>
        <w:rPr>
          <w:rFonts w:ascii="黑体" w:hAnsi="宋体"/>
          <w:kern w:val="3"/>
          <w:sz w:val="28"/>
          <w:szCs w:val="28"/>
        </w:rPr>
      </w:pPr>
      <w:bookmarkStart w:id="535" w:name="_Toc313863585"/>
      <w:bookmarkStart w:id="536" w:name="_Toc377463212"/>
      <w:bookmarkStart w:id="537" w:name="_Toc368"/>
      <w:bookmarkStart w:id="538" w:name="_Toc71894973"/>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10</w:t>
      </w:r>
      <w:r>
        <w:rPr>
          <w:rFonts w:ascii="黑体" w:hAnsi="宋体"/>
          <w:kern w:val="3"/>
          <w:sz w:val="28"/>
          <w:szCs w:val="28"/>
        </w:rPr>
        <w:t>罐内作业安全措施</w:t>
      </w:r>
      <w:bookmarkEnd w:id="535"/>
      <w:bookmarkEnd w:id="536"/>
      <w:bookmarkEnd w:id="537"/>
      <w:bookmarkEnd w:id="538"/>
    </w:p>
    <w:p w14:paraId="45E8BB2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1.可靠隔离</w:t>
      </w:r>
    </w:p>
    <w:p w14:paraId="1680C3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进入罐内作业的设备必须和其它设备、管道可靠隔离，绝不允许其它系统的介质进入所作业的罐内。</w:t>
      </w:r>
    </w:p>
    <w:p w14:paraId="5594A8C9">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2.置换合格</w:t>
      </w:r>
    </w:p>
    <w:p w14:paraId="6D403D5B">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入罐前必须进行置换，并对罐内空气中氧含量进行分析、测定。罐内动火作业除了罐内空气中的可燃物含量符合动火规定外，氧含量应在18～21﹪的范围。同时必须注意，动火分析合格，不等于满足防毒要求。</w:t>
      </w:r>
    </w:p>
    <w:p w14:paraId="0F88448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3.罐外监护</w:t>
      </w:r>
    </w:p>
    <w:p w14:paraId="0BDF04B5">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罐内作业应指派两人以上做罐外监护，根据现场情况配置必要的防毒面具、氧气呼吸器、安全带等。</w:t>
      </w:r>
    </w:p>
    <w:p w14:paraId="37214D12">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4.用电安全</w:t>
      </w:r>
    </w:p>
    <w:p w14:paraId="0AB7E19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罐内作业照明，使用的电动工具必须是安全电压，并有可靠接地；如果有可燃物存在还必须符合防爆要求。</w:t>
      </w:r>
    </w:p>
    <w:p w14:paraId="6290A8D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5.个人防护</w:t>
      </w:r>
    </w:p>
    <w:p w14:paraId="68A15DBC">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罐内作业人员必须穿戴好工作服，佩戴护目镜等。</w:t>
      </w:r>
    </w:p>
    <w:p w14:paraId="1CCC72C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6.急救措施</w:t>
      </w:r>
    </w:p>
    <w:p w14:paraId="20F425A3">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根据罐的容积和形状、作业危险性和介质性质，作好相应的急救准备工作。</w:t>
      </w:r>
    </w:p>
    <w:p w14:paraId="77EE875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7.入罐前必须按规定办理审批手续。</w:t>
      </w:r>
    </w:p>
    <w:p w14:paraId="726B1780">
      <w:pPr>
        <w:pStyle w:val="4"/>
        <w:spacing w:afterLines="100" w:line="500" w:lineRule="exact"/>
        <w:rPr>
          <w:rFonts w:ascii="黑体" w:hAnsi="宋体"/>
          <w:kern w:val="3"/>
          <w:sz w:val="28"/>
          <w:szCs w:val="28"/>
        </w:rPr>
      </w:pPr>
      <w:bookmarkStart w:id="539" w:name="_Toc71894974"/>
      <w:bookmarkStart w:id="540" w:name="_Toc21011"/>
      <w:bookmarkStart w:id="541" w:name="_Toc377463213"/>
      <w:bookmarkStart w:id="542" w:name="_Toc313863586"/>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1</w:t>
      </w:r>
      <w:r>
        <w:rPr>
          <w:rFonts w:ascii="黑体" w:hAnsi="宋体"/>
          <w:kern w:val="3"/>
          <w:sz w:val="28"/>
          <w:szCs w:val="28"/>
        </w:rPr>
        <w:t>防起重伤害措施</w:t>
      </w:r>
      <w:bookmarkEnd w:id="539"/>
      <w:bookmarkEnd w:id="540"/>
      <w:bookmarkEnd w:id="541"/>
      <w:bookmarkEnd w:id="542"/>
    </w:p>
    <w:p w14:paraId="2F6C0E62">
      <w:pPr>
        <w:spacing w:line="500" w:lineRule="exact"/>
        <w:ind w:firstLine="560" w:firstLineChars="200"/>
        <w:rPr>
          <w:rFonts w:ascii="宋体" w:hAnsi="宋体"/>
          <w:sz w:val="28"/>
          <w:szCs w:val="28"/>
        </w:rPr>
      </w:pPr>
      <w:r>
        <w:rPr>
          <w:rFonts w:ascii="宋体" w:hAnsi="宋体"/>
          <w:kern w:val="0"/>
          <w:sz w:val="28"/>
          <w:szCs w:val="28"/>
        </w:rPr>
        <w:t>在检修作业过程中，使用到起重设备进行辅助作业的，应</w:t>
      </w:r>
      <w:r>
        <w:rPr>
          <w:rFonts w:ascii="宋体" w:hAnsi="宋体"/>
          <w:sz w:val="28"/>
          <w:szCs w:val="28"/>
        </w:rPr>
        <w:t>建立和健全起重机械安全管理岗位责任制，起重机械安全技术档案管理制度；加强教育，要对起重机械作业人员进行安全技术考核，做到持证上岗作业，实行系统安全管理，强化安全监察。</w:t>
      </w:r>
    </w:p>
    <w:p w14:paraId="63A396E1">
      <w:pPr>
        <w:pStyle w:val="4"/>
        <w:spacing w:afterLines="100" w:line="500" w:lineRule="exact"/>
        <w:rPr>
          <w:rFonts w:ascii="黑体" w:hAnsi="宋体"/>
          <w:kern w:val="3"/>
          <w:sz w:val="28"/>
          <w:szCs w:val="28"/>
        </w:rPr>
      </w:pPr>
      <w:bookmarkStart w:id="543" w:name="_Toc8277"/>
      <w:bookmarkStart w:id="544" w:name="_Toc71894975"/>
      <w:bookmarkStart w:id="545" w:name="_Toc313863587"/>
      <w:bookmarkStart w:id="546" w:name="_Toc37746321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2</w:t>
      </w:r>
      <w:r>
        <w:rPr>
          <w:rFonts w:ascii="黑体" w:hAnsi="宋体"/>
          <w:kern w:val="3"/>
          <w:sz w:val="28"/>
          <w:szCs w:val="28"/>
        </w:rPr>
        <w:t>防烫伤措施</w:t>
      </w:r>
      <w:bookmarkEnd w:id="543"/>
      <w:bookmarkEnd w:id="544"/>
      <w:bookmarkEnd w:id="545"/>
      <w:bookmarkEnd w:id="546"/>
    </w:p>
    <w:p w14:paraId="7BEF3CCA">
      <w:pPr>
        <w:spacing w:line="500" w:lineRule="exact"/>
        <w:ind w:firstLine="560" w:firstLineChars="200"/>
        <w:rPr>
          <w:rFonts w:ascii="宋体" w:hAnsi="宋体"/>
          <w:sz w:val="28"/>
          <w:szCs w:val="28"/>
        </w:rPr>
      </w:pPr>
      <w:r>
        <w:rPr>
          <w:rFonts w:ascii="宋体" w:hAnsi="宋体"/>
          <w:sz w:val="28"/>
          <w:szCs w:val="28"/>
        </w:rPr>
        <w:t>为防止高温烫伤，工作人员</w:t>
      </w:r>
      <w:r>
        <w:rPr>
          <w:rFonts w:hint="eastAsia" w:ascii="宋体" w:hAnsi="宋体"/>
          <w:sz w:val="28"/>
          <w:szCs w:val="28"/>
          <w:lang w:val="en-US" w:eastAsia="zh-CN"/>
        </w:rPr>
        <w:t>操作产生高温的设备</w:t>
      </w:r>
      <w:r>
        <w:rPr>
          <w:rFonts w:ascii="宋体" w:hAnsi="宋体"/>
          <w:sz w:val="28"/>
          <w:szCs w:val="28"/>
        </w:rPr>
        <w:t>时，必须严格执行</w:t>
      </w:r>
      <w:r>
        <w:rPr>
          <w:rFonts w:hint="eastAsia" w:ascii="宋体" w:hAnsi="宋体"/>
          <w:sz w:val="28"/>
          <w:szCs w:val="28"/>
          <w:lang w:val="en-US" w:eastAsia="zh-CN"/>
        </w:rPr>
        <w:t>操作规程</w:t>
      </w:r>
      <w:r>
        <w:rPr>
          <w:rFonts w:ascii="宋体" w:hAnsi="宋体"/>
          <w:sz w:val="28"/>
          <w:szCs w:val="28"/>
        </w:rPr>
        <w:t>；并严格按照在高温设备上检修时的要求执行，严格遵守《电业安全工作规程》热力机械部分的规程。</w:t>
      </w:r>
      <w:r>
        <w:rPr>
          <w:rFonts w:hint="eastAsia" w:ascii="宋体" w:hAnsi="宋体"/>
          <w:sz w:val="28"/>
          <w:szCs w:val="28"/>
          <w:lang w:val="en-US" w:eastAsia="zh-CN"/>
        </w:rPr>
        <w:t>确保</w:t>
      </w:r>
      <w:r>
        <w:rPr>
          <w:rFonts w:ascii="宋体" w:hAnsi="宋体"/>
          <w:sz w:val="28"/>
          <w:szCs w:val="28"/>
        </w:rPr>
        <w:t>有适当防护装置，并正确使用，保证安全，防止发生烫伤。如在紧急、适应的情况下，工作人员能相互工作和休息（轮班）</w:t>
      </w:r>
      <w:r>
        <w:rPr>
          <w:rFonts w:ascii="宋体" w:hAnsi="宋体"/>
        </w:rPr>
        <w:t>。</w:t>
      </w:r>
    </w:p>
    <w:p w14:paraId="723C4E9B">
      <w:pPr>
        <w:pStyle w:val="4"/>
        <w:spacing w:afterLines="100" w:line="500" w:lineRule="exact"/>
        <w:rPr>
          <w:rFonts w:ascii="黑体" w:hAnsi="宋体"/>
          <w:kern w:val="3"/>
          <w:sz w:val="28"/>
          <w:szCs w:val="28"/>
        </w:rPr>
      </w:pPr>
      <w:bookmarkStart w:id="547" w:name="_Toc71894976"/>
      <w:bookmarkStart w:id="548" w:name="_Toc241652173"/>
      <w:bookmarkStart w:id="549" w:name="_Toc13443"/>
      <w:bookmarkStart w:id="550" w:name="_Toc313863588"/>
      <w:bookmarkStart w:id="551" w:name="_Toc377463215"/>
      <w:bookmarkStart w:id="552" w:name="_Toc237320053"/>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3</w:t>
      </w:r>
      <w:r>
        <w:rPr>
          <w:rFonts w:ascii="黑体" w:hAnsi="宋体"/>
          <w:kern w:val="3"/>
          <w:sz w:val="28"/>
          <w:szCs w:val="28"/>
        </w:rPr>
        <w:t>安全标志</w:t>
      </w:r>
      <w:bookmarkEnd w:id="547"/>
      <w:bookmarkEnd w:id="548"/>
      <w:bookmarkEnd w:id="549"/>
      <w:bookmarkEnd w:id="550"/>
      <w:bookmarkEnd w:id="551"/>
      <w:bookmarkEnd w:id="552"/>
    </w:p>
    <w:p w14:paraId="27A0361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1.油站内各爆炸危险区域应增设安全警示标志；</w:t>
      </w:r>
    </w:p>
    <w:p w14:paraId="09770F55">
      <w:pPr>
        <w:tabs>
          <w:tab w:val="left" w:pos="132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2.加油站</w:t>
      </w:r>
      <w:r>
        <w:rPr>
          <w:rFonts w:hint="eastAsia" w:ascii="宋体" w:hAnsi="宋体"/>
          <w:sz w:val="28"/>
          <w:szCs w:val="28"/>
          <w:lang w:val="zh-CN"/>
        </w:rPr>
        <w:t>配电室设安全警示标志</w:t>
      </w:r>
      <w:r>
        <w:rPr>
          <w:rFonts w:ascii="宋体" w:hAnsi="宋体"/>
          <w:sz w:val="28"/>
          <w:szCs w:val="28"/>
          <w:lang w:val="zh-CN"/>
        </w:rPr>
        <w:t>。</w:t>
      </w:r>
    </w:p>
    <w:p w14:paraId="580CCEF4">
      <w:pPr>
        <w:pStyle w:val="4"/>
        <w:spacing w:afterLines="100" w:line="500" w:lineRule="exact"/>
        <w:rPr>
          <w:rFonts w:ascii="黑体" w:hAnsi="宋体"/>
          <w:kern w:val="3"/>
          <w:sz w:val="28"/>
          <w:szCs w:val="28"/>
        </w:rPr>
      </w:pPr>
      <w:bookmarkStart w:id="553" w:name="_Toc237320054"/>
      <w:bookmarkStart w:id="554" w:name="_Toc71894977"/>
      <w:bookmarkStart w:id="555" w:name="_Toc313863589"/>
      <w:bookmarkStart w:id="556" w:name="_Toc241652174"/>
      <w:bookmarkStart w:id="557" w:name="_Toc377463216"/>
      <w:bookmarkStart w:id="558" w:name="_Toc3194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4</w:t>
      </w:r>
      <w:r>
        <w:rPr>
          <w:rFonts w:ascii="黑体" w:hAnsi="宋体"/>
          <w:kern w:val="3"/>
          <w:sz w:val="28"/>
          <w:szCs w:val="28"/>
        </w:rPr>
        <w:t>劳动防护用品</w:t>
      </w:r>
      <w:bookmarkEnd w:id="553"/>
      <w:bookmarkEnd w:id="554"/>
      <w:bookmarkEnd w:id="555"/>
      <w:bookmarkEnd w:id="556"/>
      <w:bookmarkEnd w:id="557"/>
      <w:bookmarkEnd w:id="558"/>
    </w:p>
    <w:p w14:paraId="30CD3899">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1.防护用品配备生产经营单位应当按照国家颁发的劳动防护用品配备标准以及有关规定，为从业人员配备劳动防护用品。</w:t>
      </w:r>
    </w:p>
    <w:p w14:paraId="3D0EE0F5">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2.防护用品佩戴</w:t>
      </w:r>
    </w:p>
    <w:p w14:paraId="164C253D">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 xml:space="preserve">从业人员在作业过程中，必须按照安全生产规章制度和劳动防护用品使用规则，正确佩戴和使用劳动防护用品；未按规定佩戴和使用劳动防护用品的，不得上岗作业。 </w:t>
      </w:r>
    </w:p>
    <w:p w14:paraId="062A5A5D">
      <w:pPr>
        <w:pStyle w:val="4"/>
        <w:spacing w:afterLines="100" w:line="500" w:lineRule="exact"/>
        <w:rPr>
          <w:rFonts w:ascii="黑体" w:hAnsi="宋体"/>
          <w:kern w:val="3"/>
          <w:sz w:val="28"/>
          <w:szCs w:val="28"/>
        </w:rPr>
      </w:pPr>
      <w:bookmarkStart w:id="559" w:name="_Toc241652175"/>
      <w:bookmarkStart w:id="560" w:name="_Toc313863590"/>
      <w:bookmarkStart w:id="561" w:name="_Toc71894978"/>
      <w:bookmarkStart w:id="562" w:name="_Toc237320055"/>
      <w:bookmarkStart w:id="563" w:name="_Toc20594"/>
      <w:bookmarkStart w:id="564" w:name="_Toc37746321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5</w:t>
      </w:r>
      <w:r>
        <w:rPr>
          <w:rFonts w:ascii="黑体" w:hAnsi="宋体"/>
          <w:kern w:val="3"/>
          <w:sz w:val="28"/>
          <w:szCs w:val="28"/>
        </w:rPr>
        <w:t>安全管理对策措施</w:t>
      </w:r>
      <w:bookmarkEnd w:id="559"/>
      <w:bookmarkEnd w:id="560"/>
      <w:bookmarkEnd w:id="561"/>
      <w:bookmarkEnd w:id="562"/>
      <w:bookmarkEnd w:id="563"/>
      <w:bookmarkEnd w:id="564"/>
    </w:p>
    <w:p w14:paraId="0EE0DD7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1.健全安全责任制、安全管理制度及安全操作规程</w:t>
      </w:r>
    </w:p>
    <w:p w14:paraId="23E9B32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（1）健全安全经营责任制，明确各级各类人员安全职责。</w:t>
      </w:r>
    </w:p>
    <w:p w14:paraId="354413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（2）健全各种安全管理制度，使加油站的安全管理工作有据可依，有章可循。</w:t>
      </w:r>
    </w:p>
    <w:p w14:paraId="5159AF6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（3）按照岗位设置情况具体制订各岗位安全操作规程，规范作业人员操作行为。</w:t>
      </w:r>
    </w:p>
    <w:p w14:paraId="5B90DF5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（4）依据《云南省安全生产条件》完善安全生产责任制。</w:t>
      </w:r>
    </w:p>
    <w:p w14:paraId="7E2915A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2.安全培训、教育和考核</w:t>
      </w:r>
    </w:p>
    <w:p w14:paraId="66EFCD71">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（1）加油站主要负责人和安全生产管理人员必须具备相应的安全管理资格，并定期参加教育培训；</w:t>
      </w:r>
    </w:p>
    <w:p w14:paraId="2D8B438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定期对从业人员进行安全教育培训，包括新进员工的安全教育培训，搞好新职工的安全教育与培训，建设一支注重安全、懂得安全、保证安全的经营职工队伍。落实员工的安全技术培训、岗位技能培训、新工人（含临时工）的“三级安全教育”，保证员工具备必要的安全生产知识，熟悉有关的安全经营规章制度和安全操作规程，掌握本岗位的安全操作技能。主要技术骨干和操作人员在同类企业进行培训，经严格考试后方可上岗；</w:t>
      </w:r>
    </w:p>
    <w:p w14:paraId="0426AB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（3）制定职工安全教育年度培训计划；</w:t>
      </w:r>
    </w:p>
    <w:p w14:paraId="7C811AA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（4）加油站人员必须全员进行消防培训；</w:t>
      </w:r>
    </w:p>
    <w:p w14:paraId="04C9D71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（5）特种作业人员须经培训持证上岗。</w:t>
      </w:r>
    </w:p>
    <w:p w14:paraId="38A19A4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3.应急预案</w:t>
      </w:r>
    </w:p>
    <w:p w14:paraId="70BE4023">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依据《生产经营单位生产安全事故应急预案编制导则》（</w:t>
      </w:r>
      <w:r>
        <w:rPr>
          <w:rFonts w:hint="eastAsia" w:ascii="宋体" w:hAnsi="宋体"/>
          <w:sz w:val="28"/>
          <w:szCs w:val="28"/>
          <w:lang w:val="zh-CN"/>
        </w:rPr>
        <w:t>GB/T29639-2020</w:t>
      </w:r>
      <w:r>
        <w:rPr>
          <w:rFonts w:ascii="宋体" w:hAnsi="宋体"/>
          <w:sz w:val="28"/>
          <w:szCs w:val="28"/>
          <w:lang w:val="zh-CN"/>
        </w:rPr>
        <w:t>）及实际情况完善应急预案，定期演练并做好记录，按</w:t>
      </w: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r>
        <w:rPr>
          <w:rFonts w:ascii="宋体" w:hAnsi="宋体"/>
          <w:sz w:val="28"/>
          <w:szCs w:val="28"/>
          <w:lang w:val="zh-CN"/>
        </w:rPr>
        <w:t>申报备案。</w:t>
      </w:r>
    </w:p>
    <w:p w14:paraId="40F8FE15">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4.日常安全管理</w:t>
      </w:r>
    </w:p>
    <w:p w14:paraId="4A2B25F6">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（1）定期对储罐、加油机等设施检测，加强对储存设施、消防器材的维护、保养；</w:t>
      </w:r>
    </w:p>
    <w:p w14:paraId="1646F557">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（2）加强安全管理人员的培训，实行安全员跟班作业，进行安全生产教育和员工的岗位技能培训，提高员工的安全意识；当人员有变动后应对其相应的材料进行整理，把已不在此岗位的人名姓名进行相应变更；</w:t>
      </w:r>
    </w:p>
    <w:p w14:paraId="29BD2BBB">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（3）加强作业现场管理，杜绝“三违”行为；</w:t>
      </w:r>
    </w:p>
    <w:p w14:paraId="2D2118AF">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（4）严格按照《油罐清洗安全技术规程》进行清罐作业；</w:t>
      </w:r>
    </w:p>
    <w:p w14:paraId="7BF4F9F3">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加强经常性的安全教育培训，提高全体员工的安全意识。针对本站实际，安全教育内容至少包括以下内容：深入理解危险化学品标识提供的信息；了解重大危险源的部位、管理要求及一旦发生事故进行处理和救援的程序和办法；认真学习各项安全管理制度，包括安全生产责任制，安全生产规章制度、岗位安全操作规程，事故应急救援预案等。</w:t>
      </w:r>
    </w:p>
    <w:p w14:paraId="42CD0A83">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（6）加强对收、储、发油设施的安全检查和维护，确保设施完好。对消防设施和器材要定期检查，以免失效。对防雷设施要按照规定，定期请检测中心检测。</w:t>
      </w:r>
    </w:p>
    <w:p w14:paraId="518A75B4">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（7）结合工作实际，不断总结、完善各项安全管理规章制度和规范，适时修订，以确保安全管理质量和水平的提高。</w:t>
      </w:r>
    </w:p>
    <w:p w14:paraId="48566D9C">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5.建立安全专项资金</w:t>
      </w:r>
    </w:p>
    <w:p w14:paraId="20445F1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将安全投入资金单独列项，建立安全专项资金，从根本上保证安全资金的来源。</w:t>
      </w:r>
    </w:p>
    <w:p w14:paraId="2CCE8DCE">
      <w:pPr>
        <w:autoSpaceDE w:val="0"/>
        <w:autoSpaceDN w:val="0"/>
        <w:adjustRightInd w:val="0"/>
        <w:spacing w:line="500" w:lineRule="exact"/>
        <w:ind w:firstLine="608"/>
        <w:rPr>
          <w:rFonts w:ascii="宋体" w:hAnsi="宋体"/>
          <w:sz w:val="28"/>
          <w:szCs w:val="28"/>
          <w:lang w:val="zh-CN"/>
        </w:rPr>
      </w:pPr>
      <w:r>
        <w:rPr>
          <w:rFonts w:hint="eastAsia" w:ascii="宋体" w:hAnsi="宋体"/>
          <w:sz w:val="28"/>
          <w:szCs w:val="28"/>
          <w:lang w:val="zh-CN"/>
        </w:rPr>
        <w:t>6</w:t>
      </w:r>
      <w:r>
        <w:rPr>
          <w:rFonts w:ascii="宋体" w:hAnsi="宋体"/>
          <w:sz w:val="28"/>
          <w:szCs w:val="28"/>
          <w:lang w:val="zh-CN"/>
        </w:rPr>
        <w:t>.</w:t>
      </w:r>
      <w:r>
        <w:rPr>
          <w:rFonts w:hint="eastAsia" w:ascii="宋体" w:hAnsi="宋体"/>
          <w:sz w:val="28"/>
          <w:szCs w:val="28"/>
          <w:lang w:val="zh-CN"/>
        </w:rPr>
        <w:t>加油站必须严格按照《化学品生产单位特殊作业安全规范》（GB30871-20</w:t>
      </w:r>
      <w:r>
        <w:rPr>
          <w:rFonts w:hint="eastAsia" w:ascii="宋体" w:hAnsi="宋体"/>
          <w:sz w:val="28"/>
          <w:szCs w:val="28"/>
          <w:lang w:val="en-US" w:eastAsia="zh-CN"/>
        </w:rPr>
        <w:t>22</w:t>
      </w:r>
      <w:r>
        <w:rPr>
          <w:rFonts w:ascii="宋体" w:hAnsi="宋体"/>
          <w:sz w:val="28"/>
          <w:szCs w:val="28"/>
          <w:lang w:val="zh-CN"/>
        </w:rPr>
        <w:t>）</w:t>
      </w:r>
      <w:r>
        <w:rPr>
          <w:rFonts w:hint="eastAsia" w:ascii="宋体" w:hAnsi="宋体"/>
          <w:sz w:val="28"/>
          <w:szCs w:val="28"/>
          <w:lang w:val="zh-CN"/>
        </w:rPr>
        <w:t>要求制定相关特殊作业管理制度及操作规范，应对作业现场进行危险、有害因素辨识并制定相应的安全措施，作业前对作业人员进行安全教育培训，进行特殊作业时应完善特殊作业审批手续，作业人员应佩戴符合要求的个体防护用品，并有作业监护人进行现场管理。</w:t>
      </w:r>
    </w:p>
    <w:p w14:paraId="3D8D7911">
      <w:pPr>
        <w:pStyle w:val="4"/>
        <w:spacing w:afterLines="100" w:line="500" w:lineRule="exact"/>
        <w:rPr>
          <w:rFonts w:ascii="黑体" w:hAnsi="宋体"/>
          <w:kern w:val="3"/>
          <w:sz w:val="28"/>
          <w:szCs w:val="28"/>
        </w:rPr>
      </w:pPr>
      <w:bookmarkStart w:id="565" w:name="_Toc377463218"/>
      <w:bookmarkStart w:id="566" w:name="_Toc24378"/>
      <w:bookmarkStart w:id="567" w:name="_Toc71894979"/>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6</w:t>
      </w:r>
      <w:r>
        <w:rPr>
          <w:rFonts w:ascii="黑体" w:hAnsi="宋体"/>
          <w:kern w:val="3"/>
          <w:sz w:val="28"/>
          <w:szCs w:val="28"/>
        </w:rPr>
        <w:t>其他建议</w:t>
      </w:r>
      <w:bookmarkEnd w:id="565"/>
      <w:bookmarkEnd w:id="566"/>
      <w:bookmarkEnd w:id="567"/>
    </w:p>
    <w:p w14:paraId="2D4E89AF">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加油站在经营过程中，尤其要加强制度的落实和在实践中不断完善，建立和完善与各种制度相应的记录台帐、检查记录等，做到记录规范、全面、内容真实可靠，使各项管理制度真正成为防患于未然的有效工具。</w:t>
      </w:r>
    </w:p>
    <w:p w14:paraId="0442F380">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加油站周边情况</w:t>
      </w:r>
      <w:r>
        <w:rPr>
          <w:rFonts w:hint="eastAsia" w:ascii="宋体" w:hAnsi="宋体"/>
          <w:bCs/>
          <w:snapToGrid w:val="0"/>
          <w:kern w:val="0"/>
          <w:sz w:val="28"/>
          <w:szCs w:val="28"/>
        </w:rPr>
        <w:t>较为复杂</w:t>
      </w:r>
      <w:r>
        <w:rPr>
          <w:rFonts w:ascii="宋体" w:hAnsi="宋体"/>
          <w:bCs/>
          <w:snapToGrid w:val="0"/>
          <w:kern w:val="0"/>
          <w:sz w:val="28"/>
          <w:szCs w:val="28"/>
        </w:rPr>
        <w:t>，加油站应要求全体员工认真落实日常巡回检查制度，尤其是储罐区、加油区</w:t>
      </w:r>
      <w:r>
        <w:rPr>
          <w:rFonts w:hint="eastAsia" w:ascii="宋体" w:hAnsi="宋体"/>
          <w:bCs/>
          <w:snapToGrid w:val="0"/>
          <w:kern w:val="0"/>
          <w:sz w:val="28"/>
          <w:szCs w:val="28"/>
        </w:rPr>
        <w:t>、</w:t>
      </w:r>
      <w:r>
        <w:rPr>
          <w:rFonts w:ascii="宋体" w:hAnsi="宋体"/>
          <w:bCs/>
          <w:snapToGrid w:val="0"/>
          <w:kern w:val="0"/>
          <w:sz w:val="28"/>
          <w:szCs w:val="28"/>
        </w:rPr>
        <w:t>配电室，严防安全事故发生。</w:t>
      </w:r>
    </w:p>
    <w:p w14:paraId="01533780">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加油站在站房内尽可能配备一定数量的救援器材和应急药品，一旦有人员受伤，可以及时进行简单的医疗处理。</w:t>
      </w:r>
    </w:p>
    <w:p w14:paraId="070B5E00">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加油站在卸油时必须采用密闭卸油，且严格按照操作规程作业。</w:t>
      </w:r>
    </w:p>
    <w:p w14:paraId="3DAAF28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rPr>
      </w:pPr>
      <w:r>
        <w:rPr>
          <w:rFonts w:ascii="宋体" w:hAnsi="宋体"/>
          <w:bCs/>
          <w:snapToGrid w:val="0"/>
          <w:kern w:val="0"/>
          <w:sz w:val="28"/>
          <w:szCs w:val="28"/>
        </w:rPr>
        <w:t>加油站</w:t>
      </w:r>
      <w:r>
        <w:rPr>
          <w:rFonts w:ascii="宋体" w:hAnsi="宋体"/>
          <w:snapToGrid w:val="0"/>
          <w:kern w:val="0"/>
          <w:sz w:val="28"/>
          <w:szCs w:val="28"/>
        </w:rPr>
        <w:t>爆炸危险区域内的电气设备选型、安装、电力线路敷设等，应符合现行国家标准《爆炸危险环境电力装置设计规范》（GB 50058）的规定。</w:t>
      </w:r>
    </w:p>
    <w:p w14:paraId="7800D90B">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sz w:val="28"/>
          <w:szCs w:val="28"/>
          <w:lang w:val="zh-CN"/>
        </w:rPr>
        <w:t>加油站站内地面雨水可散流排出站外，当雨水有明沟排到站外</w:t>
      </w:r>
      <w:r>
        <w:rPr>
          <w:rFonts w:ascii="宋体" w:hAnsi="宋体"/>
          <w:bCs/>
          <w:snapToGrid w:val="0"/>
          <w:kern w:val="0"/>
          <w:sz w:val="28"/>
          <w:szCs w:val="28"/>
        </w:rPr>
        <w:t>时，在排出围墙之前，应设置水封装置，加油站不应采用暗沟排水，且清洗油罐的污水应集中收集处理，不应直接进入排水管道。排出站外的污水应符合国家有关的污水排放标准。</w:t>
      </w:r>
    </w:p>
    <w:p w14:paraId="0CCEA6E7">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lang w:val="zh-CN"/>
        </w:rPr>
      </w:pPr>
      <w:r>
        <w:rPr>
          <w:rFonts w:ascii="宋体" w:hAnsi="宋体"/>
          <w:sz w:val="28"/>
          <w:szCs w:val="28"/>
          <w:lang w:val="zh-CN"/>
        </w:rPr>
        <w:t>加油站设置配电柜，应严格按照配电柜的相关操作规程和注意事项进行管理、操作。</w:t>
      </w:r>
    </w:p>
    <w:p w14:paraId="7FEE944B">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建议加油站定期检查加油站周边的建（构）筑物，尤其是大风季节时应加大安全检查，采取必要的防范措施，以防过往车辆和人员使用明火，引发火灾，通信线、电力线倒杆，大风吹断通信线、电力线也可能对加油站造成危险。</w:t>
      </w:r>
    </w:p>
    <w:p w14:paraId="4C12F6E6">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加油站应该对站内驾驶员休息区及厕所等区域加强检查及宣传等，禁止休息人员在加油站内抽烟等。</w:t>
      </w:r>
    </w:p>
    <w:p w14:paraId="78E544A1">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加油站应严格按</w:t>
      </w:r>
      <w:r>
        <w:rPr>
          <w:rFonts w:ascii="宋体" w:hAnsi="宋体"/>
          <w:bCs/>
          <w:snapToGrid w:val="0"/>
          <w:kern w:val="0"/>
          <w:sz w:val="28"/>
          <w:szCs w:val="28"/>
        </w:rPr>
        <w:t>《危险化学品从业单位安全标准化通用规范》（AQ3013-2008）、</w:t>
      </w:r>
      <w:r>
        <w:rPr>
          <w:rFonts w:hint="eastAsia" w:ascii="宋体" w:hAnsi="宋体"/>
          <w:bCs/>
          <w:snapToGrid w:val="0"/>
          <w:kern w:val="0"/>
          <w:sz w:val="28"/>
          <w:szCs w:val="28"/>
        </w:rPr>
        <w:t>《云南省安全生产监督管局关于印发云南省危险化学品从业单位安全生产标准化评审工作管理实施细则的通知》（云安监管〔2012〕11号）</w:t>
      </w:r>
      <w:r>
        <w:rPr>
          <w:rFonts w:ascii="宋体" w:hAnsi="宋体"/>
          <w:bCs/>
          <w:snapToGrid w:val="0"/>
          <w:kern w:val="0"/>
          <w:sz w:val="28"/>
          <w:szCs w:val="28"/>
        </w:rPr>
        <w:t>的有关规定</w:t>
      </w:r>
      <w:r>
        <w:rPr>
          <w:rFonts w:hint="eastAsia" w:ascii="宋体" w:hAnsi="宋体"/>
          <w:bCs/>
          <w:snapToGrid w:val="0"/>
          <w:kern w:val="0"/>
          <w:sz w:val="28"/>
          <w:szCs w:val="28"/>
        </w:rPr>
        <w:t>规范档案台帐建设，并每年进行一次自评，每三年进行一次标准化建设标准考评。</w:t>
      </w:r>
    </w:p>
    <w:p w14:paraId="733FE3C3">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rPr>
      </w:pPr>
      <w:r>
        <w:rPr>
          <w:rFonts w:hint="eastAsia" w:ascii="宋体" w:hAnsi="宋体"/>
          <w:bCs/>
          <w:snapToGrid w:val="0"/>
          <w:kern w:val="0"/>
          <w:sz w:val="28"/>
          <w:szCs w:val="28"/>
        </w:rPr>
        <w:t>加油站应</w:t>
      </w:r>
      <w:r>
        <w:rPr>
          <w:rFonts w:ascii="宋体" w:hAnsi="宋体"/>
          <w:bCs/>
          <w:snapToGrid w:val="0"/>
          <w:kern w:val="0"/>
          <w:sz w:val="28"/>
          <w:szCs w:val="28"/>
        </w:rPr>
        <w:t>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hint="eastAsia" w:ascii="宋体" w:hAnsi="宋体"/>
          <w:sz w:val="28"/>
          <w:szCs w:val="28"/>
          <w:lang w:val="zh-CN"/>
        </w:rPr>
        <w:t>及《生产安全事故应急预案管理办法》要求</w:t>
      </w:r>
      <w:r>
        <w:rPr>
          <w:rFonts w:ascii="宋体" w:hAnsi="宋体"/>
          <w:sz w:val="28"/>
          <w:szCs w:val="28"/>
          <w:lang w:val="zh-CN"/>
        </w:rPr>
        <w:t>生产经营单位制定的应急预案应当至少每三年修订一次,预案修订情况应有记录并归档</w:t>
      </w:r>
      <w:r>
        <w:rPr>
          <w:rFonts w:hint="eastAsia" w:ascii="宋体" w:hAnsi="宋体"/>
          <w:sz w:val="28"/>
          <w:szCs w:val="28"/>
          <w:lang w:val="zh-CN"/>
        </w:rPr>
        <w:t>。</w:t>
      </w:r>
    </w:p>
    <w:p w14:paraId="5E3CDEA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color w:val="000000"/>
          <w:sz w:val="28"/>
          <w:szCs w:val="28"/>
        </w:rPr>
      </w:pPr>
      <w:r>
        <w:rPr>
          <w:rFonts w:hint="eastAsia" w:ascii="宋体" w:hAnsi="宋体"/>
          <w:color w:val="000000"/>
          <w:sz w:val="28"/>
          <w:szCs w:val="28"/>
        </w:rPr>
        <w:t>加油站</w:t>
      </w:r>
      <w:r>
        <w:rPr>
          <w:rFonts w:hint="eastAsia" w:ascii="宋体" w:hAnsi="宋体"/>
          <w:color w:val="000000"/>
          <w:sz w:val="28"/>
          <w:szCs w:val="28"/>
          <w:lang w:val="en-US" w:eastAsia="zh-CN"/>
        </w:rPr>
        <w:t>前</w:t>
      </w:r>
      <w:r>
        <w:rPr>
          <w:rFonts w:hint="eastAsia" w:ascii="宋体" w:hAnsi="宋体"/>
          <w:color w:val="000000"/>
          <w:sz w:val="28"/>
          <w:szCs w:val="28"/>
        </w:rPr>
        <w:t>面为山坡，应加强巡查管理，防止雨季时出现滑坡、泥石流。</w:t>
      </w:r>
    </w:p>
    <w:p w14:paraId="3981059C">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320B131E">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42036DE4">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0B389CC2">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76EEAFB7">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3D28DB23">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6DC15943">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491095EC">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2BD289AF">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57FD9E30">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4EE2B204">
      <w:pPr>
        <w:pStyle w:val="4"/>
        <w:spacing w:afterLines="100" w:line="500" w:lineRule="exact"/>
        <w:jc w:val="center"/>
        <w:rPr>
          <w:rFonts w:ascii="楷体_GB2312" w:hAnsi="宋体" w:eastAsia="楷体_GB2312"/>
          <w:kern w:val="3"/>
        </w:rPr>
      </w:pPr>
      <w:bookmarkStart w:id="568" w:name="_Toc71894980"/>
      <w:r>
        <w:rPr>
          <w:rFonts w:hint="eastAsia" w:ascii="楷体_GB2312" w:hAnsi="宋体" w:eastAsia="楷体_GB2312"/>
          <w:kern w:val="3"/>
        </w:rPr>
        <w:t>第8章  安全现状评价结论</w:t>
      </w:r>
      <w:bookmarkEnd w:id="568"/>
    </w:p>
    <w:p w14:paraId="5CDC2B3E">
      <w:pPr>
        <w:pStyle w:val="4"/>
        <w:spacing w:afterLines="100" w:line="500" w:lineRule="exact"/>
        <w:jc w:val="center"/>
        <w:rPr>
          <w:rFonts w:ascii="楷体_GB2312" w:hAnsi="宋体" w:eastAsia="楷体_GB2312"/>
          <w:kern w:val="3"/>
        </w:rPr>
      </w:pPr>
      <w:bookmarkStart w:id="569" w:name="_Toc231975946"/>
      <w:bookmarkStart w:id="570" w:name="_Toc101358828"/>
      <w:bookmarkStart w:id="571" w:name="_Toc95275451"/>
      <w:bookmarkStart w:id="572" w:name="_Toc95275640"/>
      <w:bookmarkStart w:id="573" w:name="_Toc231976668"/>
      <w:bookmarkStart w:id="574" w:name="_Toc148078326"/>
      <w:bookmarkStart w:id="575" w:name="_Toc241652178"/>
      <w:bookmarkStart w:id="576" w:name="_Toc377463220"/>
      <w:bookmarkStart w:id="577" w:name="_Toc71894981"/>
      <w:bookmarkStart w:id="578" w:name="_Toc30409"/>
      <w:r>
        <w:rPr>
          <w:rFonts w:ascii="楷体_GB2312" w:hAnsi="宋体" w:eastAsia="楷体_GB2312"/>
          <w:kern w:val="3"/>
        </w:rPr>
        <w:t>8.1</w:t>
      </w:r>
      <w:bookmarkEnd w:id="569"/>
      <w:bookmarkEnd w:id="570"/>
      <w:bookmarkEnd w:id="571"/>
      <w:bookmarkEnd w:id="572"/>
      <w:bookmarkEnd w:id="573"/>
      <w:bookmarkEnd w:id="574"/>
      <w:r>
        <w:rPr>
          <w:rFonts w:ascii="楷体_GB2312" w:hAnsi="宋体" w:eastAsia="楷体_GB2312"/>
          <w:kern w:val="3"/>
        </w:rPr>
        <w:t>加油站存在主要危险、有害因素</w:t>
      </w:r>
      <w:bookmarkEnd w:id="575"/>
      <w:bookmarkEnd w:id="576"/>
      <w:bookmarkEnd w:id="577"/>
      <w:bookmarkEnd w:id="578"/>
    </w:p>
    <w:p w14:paraId="09AD0B48">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加油站涉及的危险、有害因素为火灾爆炸危险性、触电危险性、机械伤害危险性、中毒窒息、</w:t>
      </w:r>
      <w:r>
        <w:rPr>
          <w:rFonts w:hint="eastAsia" w:ascii="宋体" w:hAnsi="宋体"/>
          <w:bCs/>
          <w:snapToGrid w:val="0"/>
          <w:kern w:val="0"/>
          <w:sz w:val="28"/>
          <w:szCs w:val="28"/>
        </w:rPr>
        <w:t>有限</w:t>
      </w:r>
      <w:r>
        <w:rPr>
          <w:rFonts w:ascii="宋体" w:hAnsi="宋体"/>
          <w:bCs/>
          <w:snapToGrid w:val="0"/>
          <w:kern w:val="0"/>
          <w:sz w:val="28"/>
          <w:szCs w:val="28"/>
        </w:rPr>
        <w:t>空间作业危险性、雷击危险性、车辆伤害、高处坠落等。其中最主要的危险、有害因素是火灾、爆炸。</w:t>
      </w:r>
    </w:p>
    <w:p w14:paraId="52AFF068">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事故易发及危险点是：加油区（加油场地及加油机）、储油罐区（包括油罐及管道）、站房（包括营业室、值班室等）</w:t>
      </w:r>
      <w:r>
        <w:rPr>
          <w:rFonts w:hint="eastAsia" w:ascii="宋体" w:hAnsi="宋体"/>
          <w:bCs/>
          <w:snapToGrid w:val="0"/>
          <w:kern w:val="0"/>
          <w:sz w:val="28"/>
          <w:szCs w:val="28"/>
        </w:rPr>
        <w:t>。</w:t>
      </w:r>
    </w:p>
    <w:p w14:paraId="78A2B4C7">
      <w:pPr>
        <w:pStyle w:val="4"/>
        <w:spacing w:afterLines="100" w:line="500" w:lineRule="exact"/>
        <w:jc w:val="center"/>
        <w:rPr>
          <w:rFonts w:ascii="楷体_GB2312" w:hAnsi="宋体" w:eastAsia="楷体_GB2312"/>
          <w:kern w:val="3"/>
        </w:rPr>
      </w:pPr>
      <w:bookmarkStart w:id="579" w:name="_Toc241652179"/>
      <w:bookmarkStart w:id="580" w:name="_Toc377463221"/>
      <w:bookmarkStart w:id="581" w:name="_Toc71894982"/>
      <w:bookmarkStart w:id="582" w:name="_Toc13548"/>
      <w:r>
        <w:rPr>
          <w:rFonts w:ascii="楷体_GB2312" w:hAnsi="宋体" w:eastAsia="楷体_GB2312"/>
          <w:kern w:val="3"/>
        </w:rPr>
        <w:t>8.2各评价单元综合评价结论</w:t>
      </w:r>
      <w:bookmarkEnd w:id="579"/>
      <w:bookmarkEnd w:id="580"/>
      <w:bookmarkEnd w:id="581"/>
      <w:bookmarkEnd w:id="582"/>
    </w:p>
    <w:p w14:paraId="66303EAC">
      <w:pPr>
        <w:pStyle w:val="4"/>
        <w:spacing w:afterLines="100" w:line="500" w:lineRule="exact"/>
        <w:rPr>
          <w:rFonts w:ascii="黑体" w:hAnsi="宋体"/>
          <w:kern w:val="3"/>
          <w:sz w:val="28"/>
          <w:szCs w:val="28"/>
        </w:rPr>
      </w:pPr>
      <w:bookmarkStart w:id="583" w:name="_Toc71894983"/>
      <w:r>
        <w:rPr>
          <w:rFonts w:hint="eastAsia" w:ascii="黑体" w:hAnsi="宋体"/>
          <w:kern w:val="3"/>
          <w:sz w:val="28"/>
          <w:szCs w:val="28"/>
        </w:rPr>
        <w:t>8.2.1外部安全条件与站址评价单元</w:t>
      </w:r>
      <w:bookmarkEnd w:id="583"/>
    </w:p>
    <w:p w14:paraId="6BAF5408">
      <w:pPr>
        <w:suppressAutoHyphens/>
        <w:adjustRightInd w:val="0"/>
        <w:snapToGrid w:val="0"/>
        <w:spacing w:line="360" w:lineRule="auto"/>
        <w:ind w:firstLine="700" w:firstLineChars="250"/>
        <w:rPr>
          <w:rFonts w:ascii="宋体" w:hAnsi="宋体"/>
          <w:sz w:val="28"/>
        </w:rPr>
      </w:pPr>
      <w:r>
        <w:rPr>
          <w:rFonts w:hint="eastAsia" w:ascii="宋体" w:hAnsi="宋体"/>
          <w:sz w:val="28"/>
          <w:szCs w:val="28"/>
        </w:rPr>
        <w:t>加油站位于</w:t>
      </w:r>
      <w:r>
        <w:rPr>
          <w:rFonts w:hint="eastAsia" w:ascii="宋体" w:hAnsi="宋体"/>
          <w:snapToGrid w:val="0"/>
          <w:kern w:val="0"/>
          <w:sz w:val="28"/>
          <w:szCs w:val="28"/>
          <w:lang w:val="en-US" w:eastAsia="zh-CN"/>
        </w:rPr>
        <w:t>盐津</w:t>
      </w:r>
      <w:r>
        <w:rPr>
          <w:rFonts w:hint="eastAsia" w:ascii="宋体" w:hAnsi="宋体"/>
          <w:snapToGrid w:val="0"/>
          <w:kern w:val="0"/>
          <w:sz w:val="28"/>
          <w:szCs w:val="28"/>
          <w:lang w:eastAsia="zh-CN"/>
        </w:rPr>
        <w:t>县</w:t>
      </w:r>
      <w:r>
        <w:rPr>
          <w:rFonts w:hint="eastAsia" w:ascii="宋体" w:hAnsi="宋体"/>
          <w:sz w:val="28"/>
          <w:szCs w:val="28"/>
          <w:lang w:val="en-US" w:eastAsia="zh-CN"/>
        </w:rPr>
        <w:t>豆沙镇</w:t>
      </w:r>
      <w:r>
        <w:rPr>
          <w:rFonts w:hint="eastAsia" w:ascii="宋体" w:hAnsi="宋体"/>
          <w:sz w:val="28"/>
          <w:szCs w:val="28"/>
        </w:rPr>
        <w:t>，加油站未提供地质勘察报告，根据现场观察，加油站站址地形条件相对平缓，加油站周边未见坍塌、泥石流以及地下水涌出等不良地质现象，周边水土保持基本良好。加油站交通便利，站址符合城镇规划；加油站站</w:t>
      </w:r>
      <w:r>
        <w:rPr>
          <w:rFonts w:hint="eastAsia" w:ascii="宋体" w:hAnsi="宋体"/>
          <w:sz w:val="28"/>
        </w:rPr>
        <w:t>内设备设施与站外建、构筑物防火距离在采取措施后符合相关标准规范要求。</w:t>
      </w:r>
    </w:p>
    <w:p w14:paraId="66E6D2EB">
      <w:pPr>
        <w:pStyle w:val="4"/>
        <w:spacing w:afterLines="100" w:line="500" w:lineRule="exact"/>
        <w:rPr>
          <w:rFonts w:ascii="黑体" w:hAnsi="宋体"/>
          <w:kern w:val="3"/>
          <w:sz w:val="28"/>
          <w:szCs w:val="28"/>
        </w:rPr>
      </w:pPr>
      <w:bookmarkStart w:id="584" w:name="_Toc71894984"/>
      <w:r>
        <w:rPr>
          <w:rFonts w:hint="eastAsia" w:ascii="黑体" w:hAnsi="宋体"/>
          <w:kern w:val="3"/>
          <w:sz w:val="28"/>
          <w:szCs w:val="28"/>
        </w:rPr>
        <w:t>8.2.2总平面布置评价单元</w:t>
      </w:r>
      <w:bookmarkEnd w:id="584"/>
    </w:p>
    <w:p w14:paraId="0B97B188">
      <w:pPr>
        <w:autoSpaceDE w:val="0"/>
        <w:autoSpaceDN w:val="0"/>
        <w:adjustRightInd w:val="0"/>
        <w:snapToGrid w:val="0"/>
        <w:spacing w:line="500" w:lineRule="exact"/>
        <w:ind w:firstLine="565" w:firstLineChars="202"/>
        <w:jc w:val="left"/>
        <w:rPr>
          <w:rFonts w:ascii="宋体" w:hAnsi="宋体"/>
          <w:color w:val="000000"/>
          <w:sz w:val="28"/>
          <w:szCs w:val="28"/>
        </w:rPr>
      </w:pPr>
      <w:r>
        <w:rPr>
          <w:rFonts w:hint="eastAsia" w:ascii="宋体" w:hAnsi="宋体"/>
          <w:color w:val="000000"/>
          <w:sz w:val="28"/>
          <w:szCs w:val="28"/>
        </w:rPr>
        <w:t>该加油站站内设施的防火间</w:t>
      </w:r>
      <w:r>
        <w:rPr>
          <w:rFonts w:hint="eastAsia" w:ascii="宋体" w:hAnsi="宋体"/>
          <w:color w:val="000000"/>
          <w:sz w:val="28"/>
          <w:szCs w:val="28"/>
          <w:lang w:val="en-US" w:eastAsia="zh-CN"/>
        </w:rPr>
        <w:t>距</w:t>
      </w:r>
      <w:r>
        <w:rPr>
          <w:rFonts w:hint="eastAsia" w:ascii="宋体" w:hAnsi="宋体"/>
          <w:color w:val="000000"/>
          <w:sz w:val="28"/>
          <w:szCs w:val="28"/>
        </w:rPr>
        <w:t>满足</w:t>
      </w:r>
      <w:r>
        <w:rPr>
          <w:rFonts w:hint="eastAsia" w:ascii="新宋体" w:hAnsi="新宋体" w:eastAsia="新宋体"/>
          <w:snapToGrid w:val="0"/>
          <w:sz w:val="28"/>
          <w:szCs w:val="28"/>
        </w:rPr>
        <w:t>《汽车加油加气加氢站技术标准》（GB50156-2021）</w:t>
      </w:r>
      <w:r>
        <w:rPr>
          <w:rFonts w:hint="eastAsia" w:ascii="宋体" w:hAnsi="宋体"/>
          <w:color w:val="000000"/>
          <w:sz w:val="28"/>
          <w:szCs w:val="28"/>
        </w:rPr>
        <w:t>有关条款的要求</w:t>
      </w:r>
      <w:r>
        <w:rPr>
          <w:rFonts w:hint="eastAsia" w:ascii="宋体" w:hAnsi="宋体"/>
          <w:kern w:val="3"/>
          <w:sz w:val="28"/>
          <w:szCs w:val="28"/>
        </w:rPr>
        <w:t>。</w:t>
      </w:r>
    </w:p>
    <w:p w14:paraId="0FAA7990">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color w:val="000000"/>
          <w:sz w:val="28"/>
          <w:szCs w:val="28"/>
        </w:rPr>
        <w:t>该加油站总平面布置基本合理，符合要求。</w:t>
      </w:r>
    </w:p>
    <w:p w14:paraId="00EA391A">
      <w:pPr>
        <w:pStyle w:val="4"/>
        <w:spacing w:afterLines="100" w:line="500" w:lineRule="exact"/>
        <w:rPr>
          <w:rFonts w:ascii="黑体" w:hAnsi="宋体"/>
          <w:kern w:val="3"/>
          <w:sz w:val="28"/>
          <w:szCs w:val="28"/>
        </w:rPr>
      </w:pPr>
      <w:bookmarkStart w:id="585" w:name="_Toc71894985"/>
      <w:r>
        <w:rPr>
          <w:rFonts w:hint="eastAsia" w:ascii="黑体" w:hAnsi="宋体"/>
          <w:kern w:val="3"/>
          <w:sz w:val="28"/>
          <w:szCs w:val="28"/>
        </w:rPr>
        <w:t>8.2.3加油工艺及设施评价单元</w:t>
      </w:r>
      <w:bookmarkEnd w:id="585"/>
    </w:p>
    <w:p w14:paraId="034399F0">
      <w:pPr>
        <w:snapToGrid w:val="0"/>
        <w:spacing w:line="500" w:lineRule="exact"/>
        <w:ind w:firstLine="560"/>
        <w:rPr>
          <w:rFonts w:ascii="宋体" w:hAnsi="宋体"/>
          <w:sz w:val="28"/>
          <w:szCs w:val="28"/>
        </w:rPr>
      </w:pPr>
      <w:r>
        <w:rPr>
          <w:rFonts w:ascii="宋体" w:hAnsi="宋体"/>
          <w:sz w:val="28"/>
          <w:szCs w:val="28"/>
        </w:rPr>
        <w:t>加油站所采用的工艺：</w:t>
      </w:r>
      <w:r>
        <w:rPr>
          <w:rFonts w:hint="eastAsia" w:ascii="宋体" w:hAnsi="宋体"/>
          <w:sz w:val="28"/>
          <w:szCs w:val="28"/>
        </w:rPr>
        <w:t>加油为</w:t>
      </w:r>
      <w:r>
        <w:rPr>
          <w:rFonts w:ascii="宋体" w:hAnsi="宋体"/>
          <w:sz w:val="28"/>
          <w:szCs w:val="28"/>
        </w:rPr>
        <w:t>埋</w:t>
      </w:r>
      <w:r>
        <w:rPr>
          <w:rFonts w:hint="eastAsia" w:ascii="宋体" w:hAnsi="宋体"/>
          <w:sz w:val="28"/>
          <w:szCs w:val="28"/>
        </w:rPr>
        <w:t>地油罐设置,潜油泵供油的加油机，加油枪为自封加油枪，加油枪的油管上设置有防拉断自封接头，加油枪流量为</w:t>
      </w:r>
      <w:r>
        <w:rPr>
          <w:rFonts w:ascii="宋体" w:hAnsi="宋体"/>
          <w:sz w:val="28"/>
          <w:szCs w:val="28"/>
        </w:rPr>
        <w:t>5～</w:t>
      </w:r>
      <w:r>
        <w:rPr>
          <w:rFonts w:hint="eastAsia" w:ascii="宋体" w:hAnsi="宋体"/>
          <w:sz w:val="28"/>
          <w:szCs w:val="28"/>
        </w:rPr>
        <w:t>4</w:t>
      </w:r>
      <w:r>
        <w:rPr>
          <w:rFonts w:ascii="宋体" w:hAnsi="宋体"/>
          <w:sz w:val="28"/>
          <w:szCs w:val="28"/>
        </w:rPr>
        <w:t>5L／m</w:t>
      </w:r>
      <w:r>
        <w:rPr>
          <w:rFonts w:hint="eastAsia" w:ascii="宋体" w:hAnsi="宋体"/>
          <w:sz w:val="28"/>
          <w:szCs w:val="28"/>
        </w:rPr>
        <w:t>in；卸油</w:t>
      </w:r>
      <w:r>
        <w:rPr>
          <w:rFonts w:ascii="宋体" w:hAnsi="宋体"/>
          <w:sz w:val="28"/>
          <w:szCs w:val="28"/>
        </w:rPr>
        <w:t>采用密闭卸油方式，</w:t>
      </w:r>
      <w:r>
        <w:rPr>
          <w:rFonts w:hint="eastAsia" w:ascii="宋体" w:hAnsi="宋体"/>
          <w:sz w:val="28"/>
          <w:szCs w:val="28"/>
        </w:rPr>
        <w:t>卸油过程中使用油气回收系统；</w:t>
      </w:r>
      <w:r>
        <w:rPr>
          <w:rFonts w:ascii="宋体" w:hAnsi="宋体"/>
          <w:sz w:val="28"/>
          <w:szCs w:val="28"/>
        </w:rPr>
        <w:t>埋地油管</w:t>
      </w:r>
      <w:r>
        <w:rPr>
          <w:rFonts w:hint="eastAsia" w:ascii="宋体" w:hAnsi="宋体"/>
          <w:sz w:val="28"/>
          <w:szCs w:val="28"/>
        </w:rPr>
        <w:t>采用无缝钢管</w:t>
      </w:r>
      <w:r>
        <w:rPr>
          <w:rFonts w:ascii="宋体" w:hAnsi="宋体"/>
          <w:sz w:val="28"/>
          <w:szCs w:val="28"/>
        </w:rPr>
        <w:t>，油品管道系统的设计压力</w:t>
      </w:r>
      <w:r>
        <w:rPr>
          <w:rFonts w:hint="eastAsia" w:ascii="宋体" w:hAnsi="宋体"/>
          <w:sz w:val="28"/>
          <w:szCs w:val="28"/>
        </w:rPr>
        <w:t>不小于</w:t>
      </w:r>
      <w:r>
        <w:rPr>
          <w:rFonts w:ascii="宋体" w:hAnsi="宋体"/>
          <w:sz w:val="28"/>
          <w:szCs w:val="28"/>
        </w:rPr>
        <w:t>0</w:t>
      </w:r>
      <w:r>
        <w:rPr>
          <w:rFonts w:hint="eastAsia" w:ascii="宋体" w:hAnsi="宋体"/>
          <w:sz w:val="28"/>
          <w:szCs w:val="28"/>
        </w:rPr>
        <w:t>.</w:t>
      </w:r>
      <w:r>
        <w:rPr>
          <w:rFonts w:ascii="宋体" w:hAnsi="宋体"/>
          <w:sz w:val="28"/>
          <w:szCs w:val="28"/>
        </w:rPr>
        <w:t>6MPa</w:t>
      </w:r>
      <w:r>
        <w:rPr>
          <w:rFonts w:hint="eastAsia" w:ascii="宋体" w:hAnsi="宋体"/>
          <w:sz w:val="28"/>
          <w:szCs w:val="28"/>
        </w:rPr>
        <w:t>；</w:t>
      </w:r>
      <w:r>
        <w:rPr>
          <w:rFonts w:ascii="宋体" w:hAnsi="宋体"/>
          <w:sz w:val="28"/>
          <w:szCs w:val="28"/>
        </w:rPr>
        <w:t>埋</w:t>
      </w:r>
      <w:r>
        <w:rPr>
          <w:rFonts w:hint="eastAsia" w:ascii="宋体" w:hAnsi="宋体"/>
          <w:sz w:val="28"/>
          <w:szCs w:val="28"/>
        </w:rPr>
        <w:t>地油罐设置通气管，通气管口沿罩棚立柱向上敷设，高出罩棚2m，柴油、汽油分开设置，通气管口安装阻火器，其中汽油通气管口设置机械呼吸阀。该加油站加油工艺及设施满足安全方面要求。</w:t>
      </w:r>
    </w:p>
    <w:p w14:paraId="569D3E28">
      <w:pPr>
        <w:pStyle w:val="4"/>
        <w:spacing w:afterLines="100" w:line="500" w:lineRule="exact"/>
        <w:rPr>
          <w:rFonts w:ascii="黑体" w:hAnsi="宋体"/>
          <w:kern w:val="3"/>
          <w:sz w:val="28"/>
          <w:szCs w:val="28"/>
        </w:rPr>
      </w:pPr>
      <w:bookmarkStart w:id="586" w:name="_Toc71894986"/>
      <w:r>
        <w:rPr>
          <w:rFonts w:hint="eastAsia" w:ascii="黑体" w:hAnsi="宋体"/>
          <w:kern w:val="3"/>
          <w:sz w:val="28"/>
          <w:szCs w:val="28"/>
        </w:rPr>
        <w:t>8.2.4</w:t>
      </w:r>
      <w:r>
        <w:rPr>
          <w:rFonts w:ascii="黑体" w:hAnsi="宋体"/>
          <w:kern w:val="3"/>
          <w:sz w:val="28"/>
          <w:szCs w:val="28"/>
        </w:rPr>
        <w:t>消防</w:t>
      </w:r>
      <w:r>
        <w:rPr>
          <w:rFonts w:hint="eastAsia" w:ascii="黑体" w:hAnsi="宋体"/>
          <w:kern w:val="3"/>
          <w:sz w:val="28"/>
          <w:szCs w:val="28"/>
        </w:rPr>
        <w:t>、</w:t>
      </w:r>
      <w:r>
        <w:rPr>
          <w:rFonts w:ascii="黑体" w:hAnsi="宋体"/>
          <w:kern w:val="3"/>
          <w:sz w:val="28"/>
          <w:szCs w:val="28"/>
        </w:rPr>
        <w:t>供排</w:t>
      </w:r>
      <w:r>
        <w:rPr>
          <w:rFonts w:hint="eastAsia" w:ascii="黑体" w:hAnsi="宋体"/>
          <w:kern w:val="3"/>
          <w:sz w:val="28"/>
          <w:szCs w:val="28"/>
        </w:rPr>
        <w:t>水评价单元</w:t>
      </w:r>
      <w:bookmarkEnd w:id="586"/>
    </w:p>
    <w:p w14:paraId="0C760F54">
      <w:pPr>
        <w:snapToGrid w:val="0"/>
        <w:spacing w:line="500" w:lineRule="exact"/>
        <w:ind w:firstLine="560"/>
        <w:rPr>
          <w:rFonts w:ascii="宋体" w:hAnsi="宋体"/>
          <w:sz w:val="28"/>
          <w:szCs w:val="28"/>
        </w:rPr>
      </w:pPr>
      <w:r>
        <w:rPr>
          <w:rFonts w:ascii="宋体" w:hAnsi="宋体"/>
          <w:sz w:val="28"/>
          <w:szCs w:val="28"/>
        </w:rPr>
        <w:t>加油站</w:t>
      </w:r>
      <w:r>
        <w:rPr>
          <w:rFonts w:hint="eastAsia" w:ascii="宋体" w:hAnsi="宋体"/>
          <w:sz w:val="28"/>
          <w:szCs w:val="28"/>
        </w:rPr>
        <w:t>配</w:t>
      </w:r>
      <w:r>
        <w:rPr>
          <w:rFonts w:ascii="宋体" w:hAnsi="宋体"/>
          <w:sz w:val="28"/>
          <w:szCs w:val="28"/>
        </w:rPr>
        <w:t>置</w:t>
      </w:r>
      <w:r>
        <w:rPr>
          <w:rFonts w:hint="eastAsia" w:ascii="宋体" w:hAnsi="宋体"/>
          <w:sz w:val="28"/>
          <w:szCs w:val="28"/>
        </w:rPr>
        <w:t>的</w:t>
      </w:r>
      <w:r>
        <w:rPr>
          <w:rFonts w:ascii="宋体" w:hAnsi="宋体"/>
          <w:sz w:val="28"/>
          <w:szCs w:val="28"/>
        </w:rPr>
        <w:t>消防设施符</w:t>
      </w:r>
      <w:r>
        <w:rPr>
          <w:rFonts w:hint="eastAsia" w:ascii="宋体" w:hAnsi="宋体"/>
          <w:sz w:val="28"/>
          <w:szCs w:val="28"/>
        </w:rPr>
        <w:t>合《汽车加油加气站设计与施工规范</w:t>
      </w:r>
      <w:r>
        <w:rPr>
          <w:rFonts w:ascii="宋体" w:hAnsi="宋体"/>
          <w:sz w:val="28"/>
          <w:szCs w:val="28"/>
        </w:rPr>
        <w:t>》第9</w:t>
      </w:r>
      <w:r>
        <w:rPr>
          <w:rFonts w:hint="eastAsia" w:ascii="宋体" w:hAnsi="宋体"/>
          <w:sz w:val="28"/>
          <w:szCs w:val="28"/>
        </w:rPr>
        <w:t>章</w:t>
      </w:r>
      <w:r>
        <w:rPr>
          <w:rFonts w:ascii="宋体" w:hAnsi="宋体"/>
          <w:sz w:val="28"/>
          <w:szCs w:val="28"/>
        </w:rPr>
        <w:t>的要求。站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ascii="宋体" w:hAnsi="宋体"/>
          <w:sz w:val="28"/>
          <w:szCs w:val="28"/>
        </w:rPr>
        <w:t>雨水散流排</w:t>
      </w:r>
      <w:r>
        <w:rPr>
          <w:rFonts w:hint="eastAsia" w:ascii="宋体" w:hAnsi="宋体"/>
          <w:sz w:val="28"/>
          <w:szCs w:val="28"/>
        </w:rPr>
        <w:t>出</w:t>
      </w:r>
      <w:r>
        <w:rPr>
          <w:rFonts w:ascii="宋体" w:hAnsi="宋体"/>
          <w:sz w:val="28"/>
          <w:szCs w:val="28"/>
        </w:rPr>
        <w:t>站外。站区</w:t>
      </w:r>
      <w:r>
        <w:rPr>
          <w:rFonts w:hint="eastAsia" w:ascii="宋体" w:hAnsi="宋体"/>
          <w:sz w:val="28"/>
          <w:szCs w:val="28"/>
        </w:rPr>
        <w:t>内设有</w:t>
      </w:r>
      <w:r>
        <w:rPr>
          <w:rFonts w:ascii="宋体" w:hAnsi="宋体"/>
          <w:sz w:val="28"/>
          <w:szCs w:val="28"/>
        </w:rPr>
        <w:t>明沟</w:t>
      </w:r>
      <w:r>
        <w:rPr>
          <w:rFonts w:hint="eastAsia" w:ascii="宋体" w:hAnsi="宋体"/>
          <w:sz w:val="28"/>
          <w:szCs w:val="28"/>
        </w:rPr>
        <w:t>排水。符合《汽车加</w:t>
      </w:r>
      <w:r>
        <w:rPr>
          <w:rFonts w:ascii="宋体" w:hAnsi="宋体"/>
          <w:sz w:val="28"/>
          <w:szCs w:val="28"/>
        </w:rPr>
        <w:t>油加气站设计</w:t>
      </w:r>
      <w:r>
        <w:rPr>
          <w:rFonts w:hint="eastAsia" w:ascii="宋体" w:hAnsi="宋体"/>
          <w:sz w:val="28"/>
          <w:szCs w:val="28"/>
        </w:rPr>
        <w:t>与施工规范</w:t>
      </w:r>
      <w:r>
        <w:rPr>
          <w:rFonts w:ascii="宋体" w:hAnsi="宋体"/>
          <w:sz w:val="28"/>
          <w:szCs w:val="28"/>
        </w:rPr>
        <w:t>》第9</w:t>
      </w:r>
      <w:r>
        <w:rPr>
          <w:rFonts w:hint="eastAsia" w:ascii="宋体" w:hAnsi="宋体"/>
          <w:sz w:val="28"/>
          <w:szCs w:val="28"/>
        </w:rPr>
        <w:t>.</w:t>
      </w:r>
      <w:r>
        <w:rPr>
          <w:rFonts w:ascii="宋体" w:hAnsi="宋体"/>
          <w:sz w:val="28"/>
          <w:szCs w:val="28"/>
        </w:rPr>
        <w:t>0</w:t>
      </w:r>
      <w:r>
        <w:rPr>
          <w:rFonts w:hint="eastAsia" w:ascii="宋体" w:hAnsi="宋体"/>
          <w:sz w:val="28"/>
          <w:szCs w:val="28"/>
        </w:rPr>
        <w:t>.</w:t>
      </w:r>
      <w:r>
        <w:rPr>
          <w:rFonts w:ascii="宋体" w:hAnsi="宋体"/>
          <w:sz w:val="28"/>
          <w:szCs w:val="28"/>
        </w:rPr>
        <w:t>12条</w:t>
      </w:r>
      <w:r>
        <w:rPr>
          <w:rFonts w:hint="eastAsia" w:ascii="宋体" w:hAnsi="宋体"/>
          <w:sz w:val="28"/>
          <w:szCs w:val="28"/>
        </w:rPr>
        <w:t>章</w:t>
      </w:r>
      <w:r>
        <w:rPr>
          <w:rFonts w:ascii="宋体" w:hAnsi="宋体"/>
          <w:sz w:val="28"/>
          <w:szCs w:val="28"/>
        </w:rPr>
        <w:t>的要求。</w:t>
      </w:r>
    </w:p>
    <w:p w14:paraId="55B0AF54">
      <w:pPr>
        <w:pStyle w:val="4"/>
        <w:spacing w:afterLines="100" w:line="500" w:lineRule="exact"/>
        <w:rPr>
          <w:rFonts w:ascii="黑体" w:hAnsi="宋体"/>
          <w:kern w:val="3"/>
          <w:sz w:val="28"/>
          <w:szCs w:val="28"/>
        </w:rPr>
      </w:pPr>
      <w:bookmarkStart w:id="587" w:name="_Toc71894987"/>
      <w:r>
        <w:rPr>
          <w:rFonts w:hint="eastAsia" w:ascii="黑体" w:hAnsi="宋体"/>
          <w:kern w:val="3"/>
          <w:sz w:val="28"/>
          <w:szCs w:val="28"/>
        </w:rPr>
        <w:t>8.2.5电气装置及防雷防静电装置评价单元</w:t>
      </w:r>
      <w:bookmarkEnd w:id="587"/>
    </w:p>
    <w:p w14:paraId="5A7C4034">
      <w:pPr>
        <w:snapToGrid w:val="0"/>
        <w:spacing w:line="500" w:lineRule="exact"/>
        <w:ind w:firstLine="560"/>
        <w:rPr>
          <w:rFonts w:ascii="宋体" w:hAnsi="宋体"/>
          <w:sz w:val="28"/>
          <w:szCs w:val="28"/>
        </w:rPr>
      </w:pPr>
      <w:r>
        <w:rPr>
          <w:rFonts w:hint="eastAsia" w:ascii="宋体" w:hAnsi="宋体"/>
          <w:sz w:val="28"/>
          <w:szCs w:val="28"/>
        </w:rPr>
        <w:t>加油站</w:t>
      </w:r>
      <w:r>
        <w:rPr>
          <w:rFonts w:ascii="宋体" w:hAnsi="宋体"/>
          <w:sz w:val="28"/>
          <w:szCs w:val="28"/>
        </w:rPr>
        <w:t>的供电负荷等级为三级。</w:t>
      </w:r>
      <w:r>
        <w:rPr>
          <w:rFonts w:hint="eastAsia" w:ascii="宋体" w:hAnsi="宋体"/>
          <w:sz w:val="28"/>
          <w:szCs w:val="28"/>
        </w:rPr>
        <w:t>经配电柜分配给站内各用电设备。加油棚、站房内</w:t>
      </w:r>
      <w:r>
        <w:rPr>
          <w:rFonts w:ascii="宋体" w:hAnsi="宋体"/>
          <w:sz w:val="28"/>
          <w:szCs w:val="28"/>
        </w:rPr>
        <w:t>营业室均设有</w:t>
      </w:r>
      <w:r>
        <w:rPr>
          <w:rFonts w:hint="eastAsia" w:ascii="宋体" w:hAnsi="宋体"/>
          <w:sz w:val="28"/>
          <w:szCs w:val="28"/>
        </w:rPr>
        <w:t>事故照明。配电室与油罐区、加油机、呼吸阀的距离符合相关要求。</w:t>
      </w:r>
    </w:p>
    <w:p w14:paraId="3077E51E">
      <w:pPr>
        <w:spacing w:line="500" w:lineRule="exact"/>
        <w:ind w:firstLine="560" w:firstLineChars="200"/>
        <w:rPr>
          <w:rFonts w:ascii="宋体" w:hAnsi="宋体"/>
          <w:sz w:val="28"/>
          <w:szCs w:val="28"/>
        </w:rPr>
      </w:pPr>
      <w:r>
        <w:rPr>
          <w:rFonts w:ascii="宋体" w:hAnsi="宋体"/>
          <w:sz w:val="28"/>
          <w:szCs w:val="28"/>
        </w:rPr>
        <w:t>站区</w:t>
      </w:r>
      <w:r>
        <w:rPr>
          <w:rFonts w:hint="eastAsia" w:ascii="宋体" w:hAnsi="宋体"/>
          <w:sz w:val="28"/>
          <w:szCs w:val="28"/>
        </w:rPr>
        <w:t>内</w:t>
      </w:r>
      <w:r>
        <w:rPr>
          <w:rFonts w:ascii="宋体" w:hAnsi="宋体"/>
          <w:sz w:val="28"/>
          <w:szCs w:val="28"/>
        </w:rPr>
        <w:t>的建筑物、</w:t>
      </w:r>
      <w:r>
        <w:rPr>
          <w:rFonts w:hint="eastAsia" w:ascii="宋体" w:hAnsi="宋体"/>
          <w:sz w:val="28"/>
          <w:szCs w:val="28"/>
        </w:rPr>
        <w:t>埋</w:t>
      </w:r>
      <w:r>
        <w:rPr>
          <w:rFonts w:ascii="宋体" w:hAnsi="宋体"/>
          <w:sz w:val="28"/>
          <w:szCs w:val="28"/>
        </w:rPr>
        <w:t>地油罐、加油机均进行了防雷接</w:t>
      </w:r>
      <w:r>
        <w:rPr>
          <w:rFonts w:hint="eastAsia" w:ascii="宋体" w:hAnsi="宋体"/>
          <w:sz w:val="28"/>
          <w:szCs w:val="28"/>
        </w:rPr>
        <w:t>地，且接地点多于两处。</w:t>
      </w:r>
      <w:r>
        <w:rPr>
          <w:rFonts w:ascii="宋体" w:hAnsi="宋体"/>
          <w:sz w:val="28"/>
          <w:szCs w:val="28"/>
        </w:rPr>
        <w:t>设置有静电接地。埋地油罐区设置有防</w:t>
      </w:r>
      <w:r>
        <w:rPr>
          <w:rFonts w:hint="eastAsia" w:ascii="宋体" w:hAnsi="宋体"/>
          <w:sz w:val="28"/>
          <w:szCs w:val="28"/>
        </w:rPr>
        <w:t>雷防静电接地夹及能检测跨接线及监视接地装置状态的静电接地仪。管路上的法兰少于</w:t>
      </w:r>
      <w:r>
        <w:rPr>
          <w:rFonts w:ascii="宋体" w:hAnsi="宋体"/>
          <w:sz w:val="28"/>
          <w:szCs w:val="28"/>
        </w:rPr>
        <w:t>5根螺栓的均用导电性能好的</w:t>
      </w:r>
      <w:r>
        <w:rPr>
          <w:rFonts w:hint="eastAsia" w:ascii="宋体" w:hAnsi="宋体"/>
          <w:sz w:val="28"/>
          <w:szCs w:val="28"/>
        </w:rPr>
        <w:t>铜片</w:t>
      </w:r>
      <w:r>
        <w:rPr>
          <w:rFonts w:ascii="宋体" w:hAnsi="宋体"/>
          <w:sz w:val="28"/>
          <w:szCs w:val="28"/>
        </w:rPr>
        <w:t>进行跨接。</w:t>
      </w:r>
      <w:r>
        <w:rPr>
          <w:rFonts w:hint="eastAsia" w:ascii="宋体" w:hAnsi="宋体"/>
          <w:color w:val="auto"/>
          <w:sz w:val="28"/>
          <w:szCs w:val="28"/>
        </w:rPr>
        <w:t>加油站的防雷防静电设施于20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6</w:t>
      </w:r>
      <w:r>
        <w:rPr>
          <w:rFonts w:hint="eastAsia" w:ascii="宋体" w:hAnsi="宋体"/>
          <w:color w:val="auto"/>
          <w:sz w:val="28"/>
          <w:szCs w:val="28"/>
        </w:rPr>
        <w:t>月</w:t>
      </w:r>
      <w:r>
        <w:rPr>
          <w:rFonts w:hint="eastAsia" w:ascii="宋体" w:hAnsi="宋体"/>
          <w:color w:val="auto"/>
          <w:sz w:val="28"/>
          <w:szCs w:val="28"/>
          <w:lang w:val="en-US" w:eastAsia="zh-CN"/>
        </w:rPr>
        <w:t>16</w:t>
      </w:r>
      <w:r>
        <w:rPr>
          <w:rFonts w:hint="eastAsia" w:ascii="宋体" w:hAnsi="宋体"/>
          <w:color w:val="auto"/>
          <w:sz w:val="28"/>
          <w:szCs w:val="28"/>
        </w:rPr>
        <w:t>日完成检测，下次检测日期为202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12</w:t>
      </w:r>
      <w:r>
        <w:rPr>
          <w:rFonts w:hint="eastAsia" w:ascii="宋体" w:hAnsi="宋体"/>
          <w:color w:val="auto"/>
          <w:sz w:val="28"/>
          <w:szCs w:val="28"/>
        </w:rPr>
        <w:t>月</w:t>
      </w:r>
      <w:r>
        <w:rPr>
          <w:rFonts w:hint="eastAsia" w:ascii="宋体" w:hAnsi="宋体"/>
          <w:color w:val="auto"/>
          <w:sz w:val="28"/>
          <w:szCs w:val="28"/>
          <w:lang w:val="en-US" w:eastAsia="zh-CN"/>
        </w:rPr>
        <w:t>16</w:t>
      </w:r>
      <w:r>
        <w:rPr>
          <w:rFonts w:hint="eastAsia" w:ascii="宋体" w:hAnsi="宋体"/>
          <w:color w:val="auto"/>
          <w:sz w:val="28"/>
          <w:szCs w:val="28"/>
        </w:rPr>
        <w:t>日前。检测结论为：符</w:t>
      </w:r>
      <w:r>
        <w:rPr>
          <w:rFonts w:hint="eastAsia" w:ascii="宋体" w:hAnsi="宋体"/>
          <w:sz w:val="28"/>
          <w:szCs w:val="28"/>
        </w:rPr>
        <w:t>合相关标准要求。</w:t>
      </w:r>
    </w:p>
    <w:p w14:paraId="01DBB0B4">
      <w:pPr>
        <w:snapToGrid w:val="0"/>
        <w:spacing w:line="500" w:lineRule="exact"/>
        <w:ind w:firstLine="560"/>
        <w:rPr>
          <w:rFonts w:ascii="宋体" w:hAnsi="宋体"/>
          <w:sz w:val="28"/>
          <w:szCs w:val="28"/>
        </w:rPr>
      </w:pPr>
      <w:r>
        <w:rPr>
          <w:rFonts w:hint="eastAsia" w:ascii="宋体" w:hAnsi="宋体"/>
          <w:sz w:val="28"/>
          <w:szCs w:val="28"/>
        </w:rPr>
        <w:t>该加油站电气装置及防雷防静电装置满足安全方面要求。</w:t>
      </w:r>
    </w:p>
    <w:p w14:paraId="6B3F5744">
      <w:pPr>
        <w:pStyle w:val="4"/>
        <w:spacing w:afterLines="100" w:line="500" w:lineRule="exact"/>
        <w:rPr>
          <w:rFonts w:ascii="黑体" w:hAnsi="宋体"/>
          <w:kern w:val="3"/>
          <w:sz w:val="28"/>
          <w:szCs w:val="28"/>
        </w:rPr>
      </w:pPr>
      <w:bookmarkStart w:id="588" w:name="_Toc71894988"/>
      <w:r>
        <w:rPr>
          <w:rFonts w:hint="eastAsia" w:ascii="黑体" w:hAnsi="宋体"/>
          <w:kern w:val="3"/>
          <w:sz w:val="28"/>
          <w:szCs w:val="28"/>
        </w:rPr>
        <w:t>8.2.6</w:t>
      </w:r>
      <w:r>
        <w:rPr>
          <w:rFonts w:ascii="黑体" w:hAnsi="宋体"/>
          <w:kern w:val="3"/>
          <w:sz w:val="28"/>
          <w:szCs w:val="28"/>
        </w:rPr>
        <w:t>安全管理</w:t>
      </w:r>
      <w:r>
        <w:rPr>
          <w:rFonts w:hint="eastAsia" w:ascii="黑体" w:hAnsi="宋体"/>
          <w:kern w:val="3"/>
          <w:sz w:val="28"/>
          <w:szCs w:val="28"/>
        </w:rPr>
        <w:t>评价单元</w:t>
      </w:r>
      <w:bookmarkEnd w:id="588"/>
    </w:p>
    <w:p w14:paraId="332220C3">
      <w:pPr>
        <w:snapToGrid w:val="0"/>
        <w:spacing w:line="500" w:lineRule="exact"/>
        <w:ind w:firstLine="561"/>
        <w:rPr>
          <w:rFonts w:hint="eastAsia" w:ascii="宋体" w:hAnsi="宋体"/>
          <w:sz w:val="28"/>
          <w:szCs w:val="28"/>
        </w:rPr>
      </w:pPr>
      <w:r>
        <w:rPr>
          <w:rFonts w:ascii="宋体" w:hAnsi="宋体"/>
          <w:sz w:val="28"/>
          <w:szCs w:val="28"/>
        </w:rPr>
        <w:t>加油站成立了</w:t>
      </w:r>
      <w:r>
        <w:rPr>
          <w:rFonts w:hint="eastAsia" w:ascii="宋体" w:hAnsi="宋体"/>
          <w:sz w:val="28"/>
          <w:szCs w:val="28"/>
        </w:rPr>
        <w:t>以加油站主要负责人</w:t>
      </w:r>
      <w:r>
        <w:rPr>
          <w:rFonts w:ascii="宋体" w:hAnsi="宋体"/>
          <w:sz w:val="28"/>
          <w:szCs w:val="28"/>
        </w:rPr>
        <w:t>为组长的安</w:t>
      </w:r>
      <w:r>
        <w:rPr>
          <w:rFonts w:hint="eastAsia" w:ascii="宋体" w:hAnsi="宋体"/>
          <w:sz w:val="28"/>
          <w:szCs w:val="28"/>
        </w:rPr>
        <w:t>全</w:t>
      </w:r>
      <w:r>
        <w:rPr>
          <w:rFonts w:ascii="宋体" w:hAnsi="宋体"/>
          <w:sz w:val="28"/>
          <w:szCs w:val="28"/>
        </w:rPr>
        <w:t>工作管理小组</w:t>
      </w:r>
      <w:r>
        <w:rPr>
          <w:rFonts w:hint="eastAsia" w:ascii="宋体" w:hAnsi="宋体"/>
          <w:sz w:val="28"/>
          <w:szCs w:val="28"/>
        </w:rPr>
        <w:t>。站内</w:t>
      </w:r>
      <w:r>
        <w:rPr>
          <w:rFonts w:ascii="宋体" w:hAnsi="宋体"/>
          <w:sz w:val="28"/>
          <w:szCs w:val="28"/>
        </w:rPr>
        <w:t>管理人员</w:t>
      </w:r>
      <w:r>
        <w:rPr>
          <w:rFonts w:hint="eastAsia" w:ascii="宋体" w:hAnsi="宋体"/>
          <w:sz w:val="28"/>
          <w:szCs w:val="28"/>
        </w:rPr>
        <w:t>全部经过培训</w:t>
      </w:r>
      <w:r>
        <w:rPr>
          <w:rFonts w:ascii="宋体" w:hAnsi="宋体"/>
          <w:sz w:val="28"/>
          <w:szCs w:val="28"/>
        </w:rPr>
        <w:t>，有明确的安</w:t>
      </w:r>
      <w:r>
        <w:rPr>
          <w:rFonts w:hint="eastAsia" w:ascii="宋体" w:hAnsi="宋体"/>
          <w:sz w:val="28"/>
          <w:szCs w:val="28"/>
        </w:rPr>
        <w:t>全</w:t>
      </w:r>
      <w:r>
        <w:rPr>
          <w:rFonts w:ascii="宋体" w:hAnsi="宋体"/>
          <w:sz w:val="28"/>
          <w:szCs w:val="28"/>
        </w:rPr>
        <w:t>生产第一责任</w:t>
      </w:r>
      <w:r>
        <w:rPr>
          <w:rFonts w:hint="eastAsia" w:ascii="宋体" w:hAnsi="宋体"/>
          <w:sz w:val="28"/>
          <w:szCs w:val="28"/>
        </w:rPr>
        <w:t>人，专职安全管理人员直接负责油站日常的安全管理工作，并建立了安全管理体系；电气维护由外聘持证电工资格证的员工负责。该加油站安全管理满足安全方面要求。</w:t>
      </w:r>
    </w:p>
    <w:p w14:paraId="70BAE366">
      <w:pPr>
        <w:pStyle w:val="4"/>
        <w:spacing w:afterLines="100" w:line="500" w:lineRule="exact"/>
        <w:rPr>
          <w:rFonts w:ascii="黑体" w:hAnsi="宋体"/>
          <w:color w:val="auto"/>
          <w:kern w:val="3"/>
          <w:sz w:val="28"/>
          <w:szCs w:val="28"/>
        </w:rPr>
      </w:pPr>
      <w:r>
        <w:rPr>
          <w:rFonts w:hint="eastAsia" w:ascii="黑体" w:hAnsi="宋体"/>
          <w:color w:val="auto"/>
          <w:kern w:val="3"/>
          <w:sz w:val="28"/>
          <w:szCs w:val="28"/>
        </w:rPr>
        <w:t>8.2.7重大隐患判定及安全经营条件单元</w:t>
      </w:r>
    </w:p>
    <w:p w14:paraId="213D97A3">
      <w:pPr>
        <w:ind w:firstLine="560" w:firstLineChars="200"/>
        <w:rPr>
          <w:color w:val="auto"/>
        </w:rPr>
      </w:pPr>
      <w:r>
        <w:rPr>
          <w:rFonts w:hint="eastAsia"/>
          <w:color w:val="auto"/>
          <w:sz w:val="28"/>
          <w:szCs w:val="28"/>
        </w:rPr>
        <w:t>加油站不存在</w:t>
      </w:r>
      <w:r>
        <w:rPr>
          <w:rFonts w:hint="eastAsia" w:ascii="宋体" w:hAnsi="宋体" w:cs="宋体"/>
          <w:color w:val="auto"/>
          <w:sz w:val="28"/>
          <w:szCs w:val="28"/>
        </w:rPr>
        <w:t>重大生产安全事故隐患，</w:t>
      </w:r>
      <w:r>
        <w:rPr>
          <w:rFonts w:hint="eastAsia"/>
          <w:color w:val="auto"/>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w:t>
      </w:r>
    </w:p>
    <w:p w14:paraId="02C57294">
      <w:pPr>
        <w:pStyle w:val="4"/>
        <w:spacing w:afterLines="100" w:line="500" w:lineRule="exact"/>
        <w:jc w:val="center"/>
        <w:rPr>
          <w:rFonts w:ascii="楷体_GB2312" w:hAnsi="宋体" w:eastAsia="楷体_GB2312"/>
          <w:color w:val="auto"/>
          <w:kern w:val="3"/>
        </w:rPr>
      </w:pPr>
      <w:bookmarkStart w:id="589" w:name="_Toc71894989"/>
      <w:r>
        <w:rPr>
          <w:rFonts w:hint="eastAsia" w:ascii="楷体_GB2312" w:hAnsi="宋体" w:eastAsia="楷体_GB2312"/>
          <w:color w:val="auto"/>
          <w:kern w:val="3"/>
        </w:rPr>
        <w:t>8.3 评价结论</w:t>
      </w:r>
      <w:bookmarkEnd w:id="589"/>
    </w:p>
    <w:p w14:paraId="666E2202">
      <w:pPr>
        <w:spacing w:line="500" w:lineRule="exact"/>
        <w:ind w:firstLine="560" w:firstLineChars="200"/>
        <w:rPr>
          <w:rFonts w:ascii="宋体" w:hAnsi="宋体"/>
          <w:color w:val="auto"/>
          <w:sz w:val="28"/>
          <w:szCs w:val="28"/>
        </w:rPr>
      </w:pPr>
      <w:r>
        <w:rPr>
          <w:rFonts w:hint="eastAsia" w:ascii="宋体" w:hAnsi="宋体"/>
          <w:color w:val="auto"/>
          <w:sz w:val="28"/>
          <w:szCs w:val="28"/>
        </w:rPr>
        <w:t>根据《中华人民共和国安全生产法》、《危险化学品安全管理条例》、《</w:t>
      </w:r>
      <w:r>
        <w:rPr>
          <w:rFonts w:hint="eastAsia" w:ascii="新宋体" w:hAnsi="新宋体" w:eastAsia="新宋体"/>
          <w:color w:val="auto"/>
          <w:sz w:val="28"/>
          <w:szCs w:val="20"/>
        </w:rPr>
        <w:t>危险化学品经营许可证管理办法</w:t>
      </w:r>
      <w:r>
        <w:rPr>
          <w:rFonts w:hint="eastAsia" w:ascii="宋体" w:hAnsi="宋体"/>
          <w:color w:val="auto"/>
          <w:sz w:val="28"/>
          <w:szCs w:val="28"/>
        </w:rPr>
        <w:t>》、《安全评价通则》及相关规范的要求，评价小组认为</w:t>
      </w:r>
      <w:r>
        <w:rPr>
          <w:rFonts w:hint="eastAsia" w:ascii="宋体" w:hAnsi="宋体"/>
          <w:sz w:val="28"/>
          <w:lang w:eastAsia="zh-CN"/>
        </w:rPr>
        <w:t>盐津县豆沙狮子湾加油站</w:t>
      </w:r>
      <w:r>
        <w:rPr>
          <w:rFonts w:hint="eastAsia" w:ascii="宋体" w:hAnsi="宋体"/>
          <w:color w:val="auto"/>
          <w:sz w:val="28"/>
          <w:szCs w:val="28"/>
        </w:rPr>
        <w:t>的安全管理制度、从业人员、经营和储存场所、经营储存条件、消防设施等基本符合安全要求。</w:t>
      </w:r>
    </w:p>
    <w:p w14:paraId="06BB5855">
      <w:pPr>
        <w:spacing w:line="500" w:lineRule="exact"/>
        <w:ind w:firstLine="562" w:firstLineChars="200"/>
        <w:rPr>
          <w:rFonts w:ascii="宋体" w:hAnsi="宋体"/>
          <w:b/>
          <w:color w:val="auto"/>
          <w:sz w:val="28"/>
          <w:szCs w:val="28"/>
        </w:rPr>
      </w:pPr>
      <w:r>
        <w:rPr>
          <w:rFonts w:hint="eastAsia" w:ascii="宋体" w:hAnsi="宋体"/>
          <w:b/>
          <w:color w:val="auto"/>
          <w:sz w:val="28"/>
          <w:szCs w:val="28"/>
        </w:rPr>
        <w:t>安全现状评价结论：</w:t>
      </w:r>
      <w:r>
        <w:rPr>
          <w:rFonts w:hint="eastAsia" w:ascii="宋体" w:hAnsi="宋体" w:cs="Times New Roman"/>
          <w:b/>
          <w:color w:val="auto"/>
          <w:sz w:val="28"/>
          <w:szCs w:val="28"/>
          <w:lang w:eastAsia="zh-CN"/>
        </w:rPr>
        <w:t>盐津县豆沙狮子湾加油站</w:t>
      </w:r>
      <w:r>
        <w:rPr>
          <w:rFonts w:hint="eastAsia" w:ascii="宋体" w:hAnsi="宋体" w:cs="Times New Roman"/>
          <w:b/>
          <w:color w:val="auto"/>
          <w:sz w:val="28"/>
          <w:szCs w:val="28"/>
        </w:rPr>
        <w:t>的现状符合国家有关</w:t>
      </w:r>
      <w:r>
        <w:rPr>
          <w:rFonts w:hint="eastAsia" w:ascii="宋体" w:hAnsi="宋体"/>
          <w:b/>
          <w:color w:val="auto"/>
          <w:sz w:val="28"/>
          <w:szCs w:val="28"/>
        </w:rPr>
        <w:t>安全方面的法律、法规、标准、规程、规章的有关要求，其安全现状符合安全要求。</w:t>
      </w:r>
    </w:p>
    <w:p w14:paraId="0BB25D16">
      <w:pPr>
        <w:snapToGrid w:val="0"/>
        <w:spacing w:line="500" w:lineRule="exact"/>
        <w:ind w:firstLine="561"/>
        <w:rPr>
          <w:rFonts w:hint="eastAsia" w:ascii="宋体" w:hAnsi="宋体"/>
          <w:sz w:val="28"/>
          <w:szCs w:val="28"/>
        </w:rPr>
      </w:pPr>
      <w:r>
        <w:rPr>
          <w:rFonts w:ascii="宋体" w:hAnsi="宋体" w:eastAsia="宋体"/>
          <w:color w:val="auto"/>
          <w:sz w:val="28"/>
          <w:szCs w:val="28"/>
        </w:rPr>
        <w:br w:type="page"/>
      </w:r>
    </w:p>
    <w:p w14:paraId="33316211">
      <w:pPr>
        <w:pStyle w:val="4"/>
        <w:spacing w:afterLines="100" w:line="500" w:lineRule="exact"/>
        <w:jc w:val="center"/>
        <w:rPr>
          <w:rFonts w:ascii="楷体_GB2312" w:hAnsi="宋体" w:eastAsia="楷体_GB2312"/>
          <w:kern w:val="3"/>
        </w:rPr>
      </w:pPr>
      <w:bookmarkStart w:id="590" w:name="_Toc196033084"/>
      <w:bookmarkStart w:id="591" w:name="_Toc321068255"/>
      <w:bookmarkStart w:id="592" w:name="_Toc71894990"/>
      <w:bookmarkStart w:id="593" w:name="_Toc26694551"/>
      <w:bookmarkStart w:id="594" w:name="_Toc26694228"/>
      <w:r>
        <w:rPr>
          <w:rFonts w:hint="eastAsia" w:ascii="楷体_GB2312" w:hAnsi="宋体" w:eastAsia="楷体_GB2312"/>
          <w:kern w:val="3"/>
        </w:rPr>
        <w:t>第9章  与被评价单位交换意见的情况</w:t>
      </w:r>
      <w:bookmarkEnd w:id="590"/>
      <w:bookmarkEnd w:id="591"/>
      <w:bookmarkEnd w:id="592"/>
    </w:p>
    <w:bookmarkEnd w:id="593"/>
    <w:bookmarkEnd w:id="594"/>
    <w:p w14:paraId="5E403828">
      <w:pPr>
        <w:ind w:firstLine="560" w:firstLineChars="200"/>
        <w:rPr>
          <w:rFonts w:ascii="宋体" w:hAnsi="宋体"/>
          <w:sz w:val="28"/>
          <w:szCs w:val="28"/>
        </w:rPr>
      </w:pPr>
      <w:r>
        <w:rPr>
          <w:rFonts w:ascii="宋体" w:hAnsi="宋体"/>
          <w:sz w:val="28"/>
          <w:szCs w:val="28"/>
        </w:rPr>
        <w:t>针对加油站存在</w:t>
      </w:r>
      <w:r>
        <w:rPr>
          <w:rFonts w:hint="eastAsia" w:ascii="宋体" w:hAnsi="宋体"/>
          <w:sz w:val="28"/>
          <w:szCs w:val="28"/>
        </w:rPr>
        <w:t>的</w:t>
      </w:r>
      <w:r>
        <w:rPr>
          <w:rFonts w:ascii="宋体" w:hAnsi="宋体"/>
          <w:sz w:val="28"/>
          <w:szCs w:val="28"/>
        </w:rPr>
        <w:t>问题，</w:t>
      </w:r>
      <w:r>
        <w:rPr>
          <w:rFonts w:hint="eastAsia" w:ascii="宋体" w:hAnsi="宋体"/>
          <w:sz w:val="28"/>
          <w:szCs w:val="28"/>
        </w:rPr>
        <w:t>评价组</w:t>
      </w:r>
      <w:r>
        <w:rPr>
          <w:rFonts w:ascii="宋体" w:hAnsi="宋体"/>
          <w:sz w:val="28"/>
          <w:szCs w:val="28"/>
        </w:rPr>
        <w:t>向</w:t>
      </w:r>
      <w:r>
        <w:rPr>
          <w:rFonts w:hint="eastAsia" w:ascii="宋体" w:hAnsi="宋体"/>
          <w:sz w:val="28"/>
          <w:szCs w:val="28"/>
          <w:lang w:eastAsia="zh-CN"/>
        </w:rPr>
        <w:t>盐津县豆沙狮子湾加油站</w:t>
      </w:r>
      <w:r>
        <w:rPr>
          <w:rFonts w:hint="eastAsia" w:ascii="宋体" w:hAnsi="宋体"/>
          <w:sz w:val="28"/>
          <w:szCs w:val="28"/>
        </w:rPr>
        <w:t>提出下面的改进建议：</w:t>
      </w:r>
    </w:p>
    <w:p w14:paraId="4558304A">
      <w:pPr>
        <w:ind w:firstLine="570"/>
        <w:rPr>
          <w:rFonts w:ascii="宋体" w:hAnsi="宋体" w:cs="宋体"/>
          <w:sz w:val="28"/>
          <w:szCs w:val="21"/>
        </w:rPr>
      </w:pPr>
      <w:r>
        <w:rPr>
          <w:rFonts w:hint="eastAsia" w:ascii="宋体" w:hAnsi="宋体" w:cs="宋体"/>
          <w:sz w:val="28"/>
          <w:szCs w:val="21"/>
        </w:rPr>
        <w:t>1.</w:t>
      </w:r>
      <w:r>
        <w:rPr>
          <w:rFonts w:hint="eastAsia" w:ascii="宋体" w:hAnsi="宋体"/>
          <w:sz w:val="28"/>
          <w:szCs w:val="28"/>
        </w:rPr>
        <w:t>加油站应严格按规范要求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的要求进行档案台帐建设，并按要求每年进行一次安全标准化自评</w:t>
      </w:r>
      <w:r>
        <w:rPr>
          <w:rFonts w:hint="eastAsia" w:ascii="宋体" w:hAnsi="宋体"/>
          <w:sz w:val="28"/>
          <w:szCs w:val="28"/>
          <w:lang w:eastAsia="zh-CN"/>
        </w:rPr>
        <w:t>，并向属地应急局报备</w:t>
      </w:r>
      <w:r>
        <w:rPr>
          <w:rFonts w:hint="eastAsia" w:ascii="宋体" w:hAnsi="宋体"/>
          <w:sz w:val="28"/>
          <w:szCs w:val="28"/>
        </w:rPr>
        <w:t>。</w:t>
      </w:r>
    </w:p>
    <w:p w14:paraId="455AE298">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2.认真贯彻落实“一企一标准”安全大检查长效机制工作。</w:t>
      </w:r>
    </w:p>
    <w:p w14:paraId="322B60CA">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3.加油站应定期请相关部门对消防设施进行检查，发现问题及时整改。</w:t>
      </w:r>
    </w:p>
    <w:p w14:paraId="7F477B8C">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4.按现行的法律、法规修改完善安全管理制度、各级人员安全职责。</w:t>
      </w:r>
    </w:p>
    <w:p w14:paraId="10B6CAFF">
      <w:pPr>
        <w:tabs>
          <w:tab w:val="center" w:pos="4252"/>
        </w:tabs>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5.不断完善安全管理制度、补充应急值班制度。</w:t>
      </w:r>
    </w:p>
    <w:p w14:paraId="55A88BED">
      <w:pPr>
        <w:tabs>
          <w:tab w:val="center" w:pos="4252"/>
        </w:tabs>
        <w:adjustRightInd w:val="0"/>
        <w:snapToGrid w:val="0"/>
        <w:spacing w:line="500" w:lineRule="exact"/>
        <w:ind w:firstLine="560" w:firstLineChars="200"/>
        <w:rPr>
          <w:rFonts w:hint="default" w:ascii="宋体" w:hAnsi="宋体" w:eastAsia="宋体"/>
          <w:sz w:val="28"/>
          <w:szCs w:val="28"/>
          <w:lang w:val="en-US" w:eastAsia="zh-CN"/>
        </w:rPr>
      </w:pPr>
      <w:r>
        <w:rPr>
          <w:rFonts w:hint="eastAsia" w:ascii="宋体" w:hAnsi="宋体"/>
          <w:sz w:val="28"/>
          <w:szCs w:val="28"/>
          <w:lang w:val="en-US" w:eastAsia="zh-CN"/>
        </w:rPr>
        <w:t>6.应急预案备案已经满三年，应尽快评审备案。</w:t>
      </w:r>
    </w:p>
    <w:p w14:paraId="0A228128">
      <w:pPr>
        <w:tabs>
          <w:tab w:val="center" w:pos="4252"/>
        </w:tabs>
        <w:adjustRightInd w:val="0"/>
        <w:snapToGrid w:val="0"/>
        <w:spacing w:line="500" w:lineRule="exact"/>
        <w:ind w:firstLine="560" w:firstLineChars="200"/>
        <w:rPr>
          <w:rFonts w:ascii="宋体" w:hAnsi="宋体"/>
          <w:sz w:val="28"/>
          <w:szCs w:val="28"/>
        </w:rPr>
      </w:pPr>
      <w:r>
        <w:rPr>
          <w:rFonts w:hint="eastAsia" w:ascii="宋体" w:hAnsi="宋体"/>
          <w:sz w:val="28"/>
          <w:szCs w:val="28"/>
          <w:lang w:eastAsia="zh-CN"/>
        </w:rPr>
        <w:t>盐津县豆沙狮子湾加油站</w:t>
      </w:r>
      <w:r>
        <w:rPr>
          <w:rFonts w:hint="eastAsia" w:ascii="宋体" w:hAnsi="宋体"/>
          <w:sz w:val="28"/>
          <w:szCs w:val="28"/>
        </w:rPr>
        <w:t>对评价小组提出的意见和建议基本接受。</w:t>
      </w:r>
    </w:p>
    <w:p w14:paraId="56D31901">
      <w:pPr>
        <w:rPr>
          <w:rFonts w:ascii="宋体" w:hAnsi="宋体" w:cs="宋体"/>
          <w:kern w:val="0"/>
          <w:sz w:val="24"/>
        </w:rPr>
      </w:pPr>
    </w:p>
    <w:p w14:paraId="4F1B237B">
      <w:pPr>
        <w:pStyle w:val="4"/>
        <w:spacing w:afterLines="100" w:line="500" w:lineRule="exact"/>
        <w:jc w:val="center"/>
        <w:rPr>
          <w:rFonts w:ascii="楷体_GB2312" w:hAnsi="宋体" w:eastAsia="楷体_GB2312"/>
          <w:kern w:val="3"/>
        </w:rPr>
      </w:pPr>
      <w:bookmarkStart w:id="595" w:name="_Toc355797064"/>
      <w:r>
        <w:rPr>
          <w:rFonts w:ascii="宋体" w:hAnsi="宋体" w:eastAsia="宋体"/>
          <w:kern w:val="3"/>
        </w:rPr>
        <w:br w:type="page"/>
      </w:r>
      <w:bookmarkStart w:id="596" w:name="_Toc71894991"/>
      <w:bookmarkStart w:id="597" w:name="_Hlk54360682"/>
      <w:r>
        <w:rPr>
          <w:rFonts w:hint="eastAsia" w:ascii="楷体_GB2312" w:hAnsi="宋体" w:eastAsia="楷体_GB2312"/>
          <w:kern w:val="3"/>
        </w:rPr>
        <w:t>附件目录</w:t>
      </w:r>
      <w:bookmarkEnd w:id="595"/>
      <w:bookmarkEnd w:id="596"/>
    </w:p>
    <w:p w14:paraId="2480CD15">
      <w:pPr>
        <w:tabs>
          <w:tab w:val="left" w:pos="5459"/>
        </w:tabs>
        <w:adjustRightInd w:val="0"/>
        <w:snapToGrid w:val="0"/>
        <w:spacing w:line="360" w:lineRule="auto"/>
        <w:ind w:firstLine="560" w:firstLineChars="200"/>
        <w:jc w:val="left"/>
        <w:rPr>
          <w:rFonts w:ascii="宋体" w:hAnsi="宋体"/>
          <w:sz w:val="28"/>
          <w:szCs w:val="28"/>
        </w:rPr>
      </w:pPr>
      <w:bookmarkStart w:id="598" w:name="_Hlk83800174"/>
      <w:r>
        <w:rPr>
          <w:rFonts w:hint="eastAsia" w:ascii="宋体" w:hAnsi="宋体"/>
          <w:sz w:val="28"/>
          <w:szCs w:val="28"/>
        </w:rPr>
        <w:t>附件一    委托书</w:t>
      </w:r>
    </w:p>
    <w:p w14:paraId="1F95619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附件二    资料真实性承诺书</w:t>
      </w:r>
    </w:p>
    <w:p w14:paraId="2EDDE57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附件三    营业执照</w:t>
      </w:r>
    </w:p>
    <w:p w14:paraId="3B34C9C6">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附件四    </w:t>
      </w:r>
      <w:r>
        <w:rPr>
          <w:rFonts w:hint="eastAsia" w:ascii="宋体" w:hAnsi="宋体"/>
          <w:sz w:val="28"/>
          <w:szCs w:val="28"/>
          <w:lang w:val="en-US" w:eastAsia="zh-CN"/>
        </w:rPr>
        <w:t>成品油</w:t>
      </w:r>
      <w:r>
        <w:rPr>
          <w:rFonts w:hint="eastAsia" w:ascii="宋体" w:hAnsi="宋体"/>
          <w:sz w:val="28"/>
          <w:szCs w:val="28"/>
        </w:rPr>
        <w:t>零售经营批准</w:t>
      </w:r>
      <w:r>
        <w:rPr>
          <w:rFonts w:hint="eastAsia" w:ascii="宋体" w:hAnsi="宋体"/>
          <w:sz w:val="28"/>
          <w:szCs w:val="28"/>
          <w:lang w:val="en-US" w:eastAsia="zh-CN"/>
        </w:rPr>
        <w:t>证书</w:t>
      </w:r>
    </w:p>
    <w:p w14:paraId="017965C1">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附件五    危险化学品经营许可证</w:t>
      </w:r>
    </w:p>
    <w:p w14:paraId="4038A25E">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附件六    安全标准化证书</w:t>
      </w:r>
    </w:p>
    <w:p w14:paraId="2F8B2CCE">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附件七    土地使用说明</w:t>
      </w:r>
    </w:p>
    <w:p w14:paraId="140D074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附件八    安全管理资格证</w:t>
      </w:r>
    </w:p>
    <w:p w14:paraId="527E006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附件九    防雷装置检测报告书</w:t>
      </w:r>
    </w:p>
    <w:p w14:paraId="5EE7B42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   加油机检测证书</w:t>
      </w:r>
    </w:p>
    <w:p w14:paraId="792FCFF7">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附件十一  应急预案备案登记表</w:t>
      </w:r>
    </w:p>
    <w:p w14:paraId="1DEEB12A">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附件十二  保险凭证</w:t>
      </w:r>
    </w:p>
    <w:p w14:paraId="256A9E89">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附件十三 成立安全领导组及任命专职安全员的文件</w:t>
      </w:r>
    </w:p>
    <w:p w14:paraId="3DE92BEB">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附件十四 加油站安全管理制度、岗位职责、操作规程</w:t>
      </w:r>
    </w:p>
    <w:p w14:paraId="6731BB8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 xml:space="preserve">附件十五 </w:t>
      </w:r>
      <w:r>
        <w:rPr>
          <w:rFonts w:hint="eastAsia" w:ascii="宋体" w:hAnsi="宋体"/>
          <w:sz w:val="28"/>
          <w:szCs w:val="28"/>
          <w:lang w:val="en-US" w:eastAsia="zh-CN"/>
        </w:rPr>
        <w:t>油罐</w:t>
      </w:r>
      <w:r>
        <w:rPr>
          <w:rFonts w:hint="eastAsia" w:ascii="宋体" w:hAnsi="宋体"/>
          <w:sz w:val="28"/>
          <w:szCs w:val="28"/>
        </w:rPr>
        <w:t>合格证</w:t>
      </w:r>
    </w:p>
    <w:p w14:paraId="40CC4D7A">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 xml:space="preserve">附件十六   </w:t>
      </w:r>
      <w:r>
        <w:rPr>
          <w:rFonts w:hint="eastAsia" w:ascii="宋体" w:hAnsi="宋体"/>
          <w:sz w:val="28"/>
          <w:szCs w:val="28"/>
          <w:lang w:val="en-US" w:eastAsia="zh-CN"/>
        </w:rPr>
        <w:t>存在问题整改情况</w:t>
      </w:r>
    </w:p>
    <w:p w14:paraId="53AF803F">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附件十</w:t>
      </w:r>
      <w:r>
        <w:rPr>
          <w:rFonts w:hint="eastAsia" w:ascii="宋体" w:hAnsi="宋体"/>
          <w:sz w:val="28"/>
          <w:szCs w:val="28"/>
          <w:lang w:val="en-US" w:eastAsia="zh-CN"/>
        </w:rPr>
        <w:t>七</w:t>
      </w:r>
      <w:r>
        <w:rPr>
          <w:rFonts w:hint="eastAsia" w:ascii="宋体" w:hAnsi="宋体"/>
          <w:sz w:val="28"/>
          <w:szCs w:val="28"/>
        </w:rPr>
        <w:t xml:space="preserve">   </w:t>
      </w:r>
      <w:r>
        <w:rPr>
          <w:rFonts w:hint="eastAsia" w:ascii="宋体" w:hAnsi="宋体"/>
          <w:sz w:val="28"/>
          <w:szCs w:val="28"/>
          <w:lang w:val="en-US" w:eastAsia="zh-CN"/>
        </w:rPr>
        <w:t>总平面布置图</w:t>
      </w:r>
    </w:p>
    <w:p w14:paraId="7261211B">
      <w:pPr>
        <w:adjustRightInd w:val="0"/>
        <w:snapToGrid w:val="0"/>
        <w:spacing w:line="360" w:lineRule="auto"/>
        <w:ind w:firstLine="560" w:firstLineChars="200"/>
        <w:jc w:val="left"/>
        <w:rPr>
          <w:rFonts w:hint="eastAsia" w:ascii="宋体" w:hAnsi="宋体"/>
          <w:sz w:val="28"/>
          <w:szCs w:val="28"/>
        </w:rPr>
      </w:pPr>
    </w:p>
    <w:p w14:paraId="50B75D04">
      <w:pPr>
        <w:adjustRightInd w:val="0"/>
        <w:snapToGrid w:val="0"/>
        <w:spacing w:line="360" w:lineRule="auto"/>
        <w:ind w:firstLine="560" w:firstLineChars="200"/>
        <w:jc w:val="left"/>
        <w:rPr>
          <w:rFonts w:ascii="宋体" w:hAnsi="宋体"/>
          <w:sz w:val="28"/>
          <w:szCs w:val="28"/>
        </w:rPr>
      </w:pPr>
    </w:p>
    <w:p w14:paraId="1D31BAC9">
      <w:pPr>
        <w:adjustRightInd w:val="0"/>
        <w:snapToGrid w:val="0"/>
        <w:spacing w:line="360" w:lineRule="auto"/>
        <w:ind w:firstLine="560" w:firstLineChars="200"/>
        <w:jc w:val="left"/>
        <w:rPr>
          <w:rFonts w:ascii="宋体" w:hAnsi="宋体"/>
          <w:sz w:val="28"/>
          <w:szCs w:val="28"/>
        </w:rPr>
      </w:pPr>
    </w:p>
    <w:bookmarkEnd w:id="597"/>
    <w:bookmarkEnd w:id="598"/>
    <w:p w14:paraId="7D11777A">
      <w:pPr>
        <w:adjustRightInd w:val="0"/>
        <w:snapToGrid w:val="0"/>
        <w:spacing w:line="360" w:lineRule="auto"/>
        <w:ind w:firstLine="560" w:firstLineChars="200"/>
        <w:jc w:val="left"/>
        <w:rPr>
          <w:rFonts w:ascii="宋体" w:hAnsi="宋体"/>
          <w:sz w:val="28"/>
          <w:szCs w:val="28"/>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DFKai-SB">
    <w:altName w:val="Microsoft JhengHei Light"/>
    <w:panose1 w:val="03000509000000000000"/>
    <w:charset w:val="88"/>
    <w:family w:val="script"/>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FAA5">
    <w:pPr>
      <w:pStyle w:val="19"/>
      <w:framePr w:wrap="around" w:vAnchor="text" w:hAnchor="page" w:x="5930" w:y="34"/>
      <w:rPr>
        <w:rStyle w:val="38"/>
      </w:rPr>
    </w:pPr>
    <w:r>
      <w:fldChar w:fldCharType="begin"/>
    </w:r>
    <w:r>
      <w:rPr>
        <w:rStyle w:val="38"/>
      </w:rPr>
      <w:instrText xml:space="preserve">PAGE  </w:instrText>
    </w:r>
    <w:r>
      <w:fldChar w:fldCharType="separate"/>
    </w:r>
    <w:r>
      <w:rPr>
        <w:rStyle w:val="38"/>
      </w:rPr>
      <w:t>1</w:t>
    </w:r>
    <w:r>
      <w:fldChar w:fldCharType="end"/>
    </w:r>
  </w:p>
  <w:p w14:paraId="31345033">
    <w:pPr>
      <w:pStyle w:val="19"/>
      <w:ind w:right="360"/>
    </w:pPr>
    <w:r>
      <w:rPr>
        <w:rFonts w:hint="eastAsia"/>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21F2">
    <w:pPr>
      <w:pStyle w:val="19"/>
      <w:framePr w:wrap="around" w:vAnchor="text" w:hAnchor="margin" w:xAlign="right" w:y="1"/>
      <w:rPr>
        <w:rStyle w:val="38"/>
      </w:rPr>
    </w:pPr>
    <w:r>
      <w:fldChar w:fldCharType="begin"/>
    </w:r>
    <w:r>
      <w:rPr>
        <w:rStyle w:val="38"/>
      </w:rPr>
      <w:instrText xml:space="preserve">PAGE  </w:instrText>
    </w:r>
    <w:r>
      <w:fldChar w:fldCharType="end"/>
    </w:r>
  </w:p>
  <w:p w14:paraId="5BEB3FF8">
    <w:pPr>
      <w:pStyle w:val="1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9719F">
    <w:pPr>
      <w:pStyle w:val="19"/>
      <w:jc w:val="center"/>
    </w:pPr>
    <w:r>
      <w:fldChar w:fldCharType="begin"/>
    </w:r>
    <w:r>
      <w:instrText xml:space="preserve"> PAGE   \* MERGEFORMAT </w:instrText>
    </w:r>
    <w:r>
      <w:fldChar w:fldCharType="separate"/>
    </w:r>
    <w:r>
      <w:rPr>
        <w:lang w:val="zh-CN"/>
      </w:rPr>
      <w:t>79</w:t>
    </w:r>
    <w:r>
      <w:rPr>
        <w:lang w:val="zh-CN"/>
      </w:rPr>
      <w:fldChar w:fldCharType="end"/>
    </w:r>
  </w:p>
  <w:p w14:paraId="7F9DDBAF">
    <w:pPr>
      <w:pStyle w:val="19"/>
      <w:tabs>
        <w:tab w:val="left" w:pos="450"/>
        <w:tab w:val="center" w:pos="4216"/>
      </w:tabs>
      <w:rPr>
        <w:rFonts w:ascii="宋体" w:hAnsi="宋体"/>
        <w:sz w:val="21"/>
        <w:szCs w:val="21"/>
      </w:rPr>
    </w:pPr>
    <w:r>
      <w:rPr>
        <w:rFonts w:hint="eastAsia" w:ascii="宋体" w:hAnsi="宋体"/>
        <w:sz w:val="21"/>
        <w:szCs w:val="21"/>
      </w:rPr>
      <w:t>昭通市鼎安科技有限公司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49389">
    <w:pPr>
      <w:pStyle w:val="20"/>
      <w:rPr>
        <w:sz w:val="21"/>
        <w:szCs w:val="21"/>
      </w:rPr>
    </w:pPr>
    <w:r>
      <w:rPr>
        <w:rFonts w:hint="eastAsia"/>
        <w:snapToGrid w:val="0"/>
        <w:kern w:val="20"/>
        <w:sz w:val="21"/>
        <w:szCs w:val="21"/>
        <w:lang w:eastAsia="zh-CN"/>
      </w:rPr>
      <w:t>盐津县豆沙狮子湾加油站</w:t>
    </w:r>
    <w:r>
      <w:rPr>
        <w:rFonts w:hint="eastAsia"/>
        <w:snapToGrid w:val="0"/>
        <w:kern w:val="20"/>
        <w:sz w:val="21"/>
        <w:szCs w:val="21"/>
      </w:rPr>
      <w:t xml:space="preserve"> </w:t>
    </w:r>
    <w:r>
      <w:rPr>
        <w:rFonts w:hint="eastAsia"/>
        <w:snapToGrid w:val="0"/>
        <w:kern w:val="20"/>
        <w:sz w:val="21"/>
        <w:szCs w:val="21"/>
        <w:lang w:val="en-US" w:eastAsia="zh-CN"/>
      </w:rPr>
      <w:t xml:space="preserve">      </w:t>
    </w:r>
    <w:r>
      <w:rPr>
        <w:rFonts w:hint="eastAsia"/>
        <w:snapToGrid w:val="0"/>
        <w:kern w:val="20"/>
        <w:sz w:val="21"/>
        <w:szCs w:val="21"/>
      </w:rPr>
      <w:t>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BE822"/>
    <w:multiLevelType w:val="singleLevel"/>
    <w:tmpl w:val="8B6BE822"/>
    <w:lvl w:ilvl="0" w:tentative="0">
      <w:start w:val="1"/>
      <w:numFmt w:val="decimal"/>
      <w:lvlText w:val="%1."/>
      <w:lvlJc w:val="left"/>
      <w:pPr>
        <w:tabs>
          <w:tab w:val="left" w:pos="312"/>
        </w:tabs>
      </w:pPr>
    </w:lvl>
  </w:abstractNum>
  <w:abstractNum w:abstractNumId="1">
    <w:nsid w:val="AEF6F600"/>
    <w:multiLevelType w:val="singleLevel"/>
    <w:tmpl w:val="AEF6F600"/>
    <w:lvl w:ilvl="0" w:tentative="0">
      <w:start w:val="1"/>
      <w:numFmt w:val="decimal"/>
      <w:suff w:val="nothing"/>
      <w:lvlText w:val="%1．"/>
      <w:lvlJc w:val="left"/>
      <w:pPr>
        <w:ind w:left="0" w:firstLine="400"/>
      </w:pPr>
      <w:rPr>
        <w:rFonts w:hint="default"/>
      </w:rPr>
    </w:lvl>
  </w:abstractNum>
  <w:abstractNum w:abstractNumId="2">
    <w:nsid w:val="00000006"/>
    <w:multiLevelType w:val="multilevel"/>
    <w:tmpl w:val="00000006"/>
    <w:lvl w:ilvl="0" w:tentative="0">
      <w:start w:val="1"/>
      <w:numFmt w:val="decimal"/>
      <w:lvlText w:val="%1."/>
      <w:lvlJc w:val="left"/>
      <w:pPr>
        <w:tabs>
          <w:tab w:val="left" w:pos="960"/>
        </w:tabs>
        <w:ind w:left="960" w:hanging="420"/>
      </w:pPr>
      <w:rPr>
        <w:rFonts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3">
    <w:nsid w:val="00000008"/>
    <w:multiLevelType w:val="multilevel"/>
    <w:tmpl w:val="00000008"/>
    <w:lvl w:ilvl="0" w:tentative="0">
      <w:start w:val="1"/>
      <w:numFmt w:val="decimal"/>
      <w:lvlText w:val="%1."/>
      <w:lvlJc w:val="left"/>
      <w:pPr>
        <w:tabs>
          <w:tab w:val="left" w:pos="960"/>
        </w:tabs>
        <w:ind w:left="960" w:hanging="420"/>
      </w:pPr>
      <w:rPr>
        <w:rFonts w:hint="default" w:ascii="Times New Roman" w:hAnsi="Times New Roman"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3890321C"/>
    <w:multiLevelType w:val="multilevel"/>
    <w:tmpl w:val="3890321C"/>
    <w:lvl w:ilvl="0" w:tentative="0">
      <w:start w:val="1"/>
      <w:numFmt w:val="decimal"/>
      <w:lvlText w:val="（%1）"/>
      <w:lvlJc w:val="left"/>
      <w:pPr>
        <w:tabs>
          <w:tab w:val="left" w:pos="1980"/>
        </w:tabs>
        <w:ind w:left="1980" w:hanging="720"/>
      </w:pPr>
      <w:rPr>
        <w:rFonts w:hint="eastAsia"/>
        <w:sz w:val="28"/>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9D3756A"/>
    <w:multiLevelType w:val="multilevel"/>
    <w:tmpl w:val="49D3756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2D7EC4C"/>
    <w:multiLevelType w:val="singleLevel"/>
    <w:tmpl w:val="52D7EC4C"/>
    <w:lvl w:ilvl="0" w:tentative="0">
      <w:start w:val="1"/>
      <w:numFmt w:val="decimal"/>
      <w:suff w:val="nothing"/>
      <w:lvlText w:val="%1．"/>
      <w:lvlJc w:val="left"/>
      <w:pPr>
        <w:ind w:left="-116" w:firstLine="400"/>
      </w:pPr>
      <w:rPr>
        <w:rFonts w:hint="default"/>
      </w:rPr>
    </w:lvl>
  </w:abstractNum>
  <w:abstractNum w:abstractNumId="7">
    <w:nsid w:val="53F55227"/>
    <w:multiLevelType w:val="singleLevel"/>
    <w:tmpl w:val="53F55227"/>
    <w:lvl w:ilvl="0" w:tentative="0">
      <w:start w:val="1"/>
      <w:numFmt w:val="decimal"/>
      <w:suff w:val="nothing"/>
      <w:lvlText w:val="%1．"/>
      <w:lvlJc w:val="left"/>
      <w:pPr>
        <w:ind w:left="0" w:firstLine="400"/>
      </w:pPr>
      <w:rPr>
        <w:rFonts w:hint="default"/>
      </w:rPr>
    </w:lvl>
  </w:abstractNum>
  <w:abstractNum w:abstractNumId="8">
    <w:nsid w:val="54F6A3DC"/>
    <w:multiLevelType w:val="singleLevel"/>
    <w:tmpl w:val="54F6A3DC"/>
    <w:lvl w:ilvl="0" w:tentative="0">
      <w:start w:val="1"/>
      <w:numFmt w:val="decimal"/>
      <w:suff w:val="nothing"/>
      <w:lvlText w:val="%1．"/>
      <w:lvlJc w:val="left"/>
      <w:pPr>
        <w:ind w:left="-40" w:firstLine="400"/>
      </w:pPr>
      <w:rPr>
        <w:rFonts w:hint="default"/>
      </w:rPr>
    </w:lvl>
  </w:abstractNum>
  <w:abstractNum w:abstractNumId="9">
    <w:nsid w:val="58962BB2"/>
    <w:multiLevelType w:val="multilevel"/>
    <w:tmpl w:val="58962BB2"/>
    <w:lvl w:ilvl="0" w:tentative="0">
      <w:start w:val="1"/>
      <w:numFmt w:val="decimal"/>
      <w:lvlText w:val="%1）"/>
      <w:lvlJc w:val="left"/>
      <w:pPr>
        <w:tabs>
          <w:tab w:val="left" w:pos="315"/>
        </w:tabs>
        <w:ind w:left="315" w:hanging="31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5A03F9C5"/>
    <w:multiLevelType w:val="singleLevel"/>
    <w:tmpl w:val="5A03F9C5"/>
    <w:lvl w:ilvl="0" w:tentative="0">
      <w:start w:val="1"/>
      <w:numFmt w:val="decimal"/>
      <w:suff w:val="nothing"/>
      <w:lvlText w:val="%1"/>
      <w:lvlJc w:val="left"/>
      <w:rPr>
        <w:rFonts w:hint="default" w:ascii="宋体" w:hAnsi="宋体" w:eastAsia="宋体" w:cs="宋体"/>
      </w:rPr>
    </w:lvl>
  </w:abstractNum>
  <w:abstractNum w:abstractNumId="11">
    <w:nsid w:val="67D7AE1E"/>
    <w:multiLevelType w:val="singleLevel"/>
    <w:tmpl w:val="67D7AE1E"/>
    <w:lvl w:ilvl="0" w:tentative="0">
      <w:start w:val="1"/>
      <w:numFmt w:val="decimal"/>
      <w:suff w:val="nothing"/>
      <w:lvlText w:val="%1、"/>
      <w:lvlJc w:val="left"/>
    </w:lvl>
  </w:abstractNum>
  <w:num w:numId="1">
    <w:abstractNumId w:val="8"/>
  </w:num>
  <w:num w:numId="2">
    <w:abstractNumId w:val="3"/>
  </w:num>
  <w:num w:numId="3">
    <w:abstractNumId w:val="1"/>
  </w:num>
  <w:num w:numId="4">
    <w:abstractNumId w:val="6"/>
  </w:num>
  <w:num w:numId="5">
    <w:abstractNumId w:val="2"/>
  </w:num>
  <w:num w:numId="6">
    <w:abstractNumId w:val="7"/>
  </w:num>
  <w:num w:numId="7">
    <w:abstractNumId w:val="0"/>
  </w:num>
  <w:num w:numId="8">
    <w:abstractNumId w:val="9"/>
  </w:num>
  <w:num w:numId="9">
    <w:abstractNumId w:val="10"/>
  </w:num>
  <w:num w:numId="10">
    <w:abstractNumId w:val="1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Q0ODZhMzVlYzZiNDI1YTI1MTlhZTllMTIxMjAyN2YifQ=="/>
  </w:docVars>
  <w:rsids>
    <w:rsidRoot w:val="00172A27"/>
    <w:rsid w:val="00005370"/>
    <w:rsid w:val="00007E03"/>
    <w:rsid w:val="000106C4"/>
    <w:rsid w:val="00012B1F"/>
    <w:rsid w:val="0001324A"/>
    <w:rsid w:val="00013736"/>
    <w:rsid w:val="00013F13"/>
    <w:rsid w:val="0001403E"/>
    <w:rsid w:val="000149B3"/>
    <w:rsid w:val="000159B9"/>
    <w:rsid w:val="00017856"/>
    <w:rsid w:val="00017A3E"/>
    <w:rsid w:val="00022625"/>
    <w:rsid w:val="00022960"/>
    <w:rsid w:val="00023ED5"/>
    <w:rsid w:val="0002451F"/>
    <w:rsid w:val="00024AC4"/>
    <w:rsid w:val="00024B71"/>
    <w:rsid w:val="00024CC5"/>
    <w:rsid w:val="00024E2D"/>
    <w:rsid w:val="00031D97"/>
    <w:rsid w:val="0003221C"/>
    <w:rsid w:val="000343D8"/>
    <w:rsid w:val="00034720"/>
    <w:rsid w:val="00035C26"/>
    <w:rsid w:val="00035E84"/>
    <w:rsid w:val="00036F33"/>
    <w:rsid w:val="00037315"/>
    <w:rsid w:val="00043996"/>
    <w:rsid w:val="00044525"/>
    <w:rsid w:val="00044B82"/>
    <w:rsid w:val="00045831"/>
    <w:rsid w:val="00052389"/>
    <w:rsid w:val="0005607B"/>
    <w:rsid w:val="00060026"/>
    <w:rsid w:val="00063146"/>
    <w:rsid w:val="000631C8"/>
    <w:rsid w:val="0006391F"/>
    <w:rsid w:val="00064ABC"/>
    <w:rsid w:val="00064AFF"/>
    <w:rsid w:val="00064B67"/>
    <w:rsid w:val="00065ADB"/>
    <w:rsid w:val="000709B8"/>
    <w:rsid w:val="0007573C"/>
    <w:rsid w:val="00075955"/>
    <w:rsid w:val="00075DC5"/>
    <w:rsid w:val="00076B93"/>
    <w:rsid w:val="0008195F"/>
    <w:rsid w:val="000849D6"/>
    <w:rsid w:val="00084D4E"/>
    <w:rsid w:val="00085030"/>
    <w:rsid w:val="0008596A"/>
    <w:rsid w:val="000871E8"/>
    <w:rsid w:val="00087CE8"/>
    <w:rsid w:val="000900C0"/>
    <w:rsid w:val="00091493"/>
    <w:rsid w:val="00092F40"/>
    <w:rsid w:val="000936C5"/>
    <w:rsid w:val="000946E3"/>
    <w:rsid w:val="00095AB1"/>
    <w:rsid w:val="000A0388"/>
    <w:rsid w:val="000A0AAA"/>
    <w:rsid w:val="000A337A"/>
    <w:rsid w:val="000A3C97"/>
    <w:rsid w:val="000B3915"/>
    <w:rsid w:val="000B489E"/>
    <w:rsid w:val="000B54D2"/>
    <w:rsid w:val="000B5A43"/>
    <w:rsid w:val="000B7942"/>
    <w:rsid w:val="000C0355"/>
    <w:rsid w:val="000C1C69"/>
    <w:rsid w:val="000C6070"/>
    <w:rsid w:val="000C6FE8"/>
    <w:rsid w:val="000D04C8"/>
    <w:rsid w:val="000D1077"/>
    <w:rsid w:val="000D13DA"/>
    <w:rsid w:val="000D3502"/>
    <w:rsid w:val="000D48A0"/>
    <w:rsid w:val="000D51F2"/>
    <w:rsid w:val="000D6915"/>
    <w:rsid w:val="000E0F53"/>
    <w:rsid w:val="000E15A7"/>
    <w:rsid w:val="000E1837"/>
    <w:rsid w:val="000E3274"/>
    <w:rsid w:val="000E3B41"/>
    <w:rsid w:val="000E4222"/>
    <w:rsid w:val="000E4864"/>
    <w:rsid w:val="000F06FA"/>
    <w:rsid w:val="000F179A"/>
    <w:rsid w:val="000F22FE"/>
    <w:rsid w:val="000F2B23"/>
    <w:rsid w:val="000F33AE"/>
    <w:rsid w:val="000F64E9"/>
    <w:rsid w:val="001005AF"/>
    <w:rsid w:val="001006FE"/>
    <w:rsid w:val="0010090A"/>
    <w:rsid w:val="001033E9"/>
    <w:rsid w:val="00107C47"/>
    <w:rsid w:val="0011108F"/>
    <w:rsid w:val="00112368"/>
    <w:rsid w:val="00112DE6"/>
    <w:rsid w:val="001131B7"/>
    <w:rsid w:val="0011379B"/>
    <w:rsid w:val="00113F86"/>
    <w:rsid w:val="00114E9A"/>
    <w:rsid w:val="001151DD"/>
    <w:rsid w:val="001166A2"/>
    <w:rsid w:val="00116CB6"/>
    <w:rsid w:val="00116E80"/>
    <w:rsid w:val="00117036"/>
    <w:rsid w:val="0012138F"/>
    <w:rsid w:val="00121B74"/>
    <w:rsid w:val="00126441"/>
    <w:rsid w:val="00127427"/>
    <w:rsid w:val="00127473"/>
    <w:rsid w:val="00127629"/>
    <w:rsid w:val="00130262"/>
    <w:rsid w:val="001307EC"/>
    <w:rsid w:val="00131AC1"/>
    <w:rsid w:val="00133B63"/>
    <w:rsid w:val="00133F4A"/>
    <w:rsid w:val="00135D80"/>
    <w:rsid w:val="00136121"/>
    <w:rsid w:val="00136F62"/>
    <w:rsid w:val="0014080F"/>
    <w:rsid w:val="0014125A"/>
    <w:rsid w:val="001447C0"/>
    <w:rsid w:val="00145488"/>
    <w:rsid w:val="00146260"/>
    <w:rsid w:val="00151F8C"/>
    <w:rsid w:val="0015438A"/>
    <w:rsid w:val="0015453A"/>
    <w:rsid w:val="0015467E"/>
    <w:rsid w:val="00156039"/>
    <w:rsid w:val="001567ED"/>
    <w:rsid w:val="00156FB9"/>
    <w:rsid w:val="00160930"/>
    <w:rsid w:val="00161BEC"/>
    <w:rsid w:val="00162051"/>
    <w:rsid w:val="00163149"/>
    <w:rsid w:val="0016527B"/>
    <w:rsid w:val="00166249"/>
    <w:rsid w:val="001662D0"/>
    <w:rsid w:val="001667A5"/>
    <w:rsid w:val="001667E0"/>
    <w:rsid w:val="00167290"/>
    <w:rsid w:val="00172377"/>
    <w:rsid w:val="00172A27"/>
    <w:rsid w:val="001743E2"/>
    <w:rsid w:val="0017455A"/>
    <w:rsid w:val="00184A96"/>
    <w:rsid w:val="00185392"/>
    <w:rsid w:val="00185648"/>
    <w:rsid w:val="00185BAB"/>
    <w:rsid w:val="00187B2D"/>
    <w:rsid w:val="00190F0D"/>
    <w:rsid w:val="00191667"/>
    <w:rsid w:val="00192474"/>
    <w:rsid w:val="00192C46"/>
    <w:rsid w:val="00192F71"/>
    <w:rsid w:val="00193150"/>
    <w:rsid w:val="00194F64"/>
    <w:rsid w:val="0019776F"/>
    <w:rsid w:val="001A172F"/>
    <w:rsid w:val="001A28F0"/>
    <w:rsid w:val="001A419A"/>
    <w:rsid w:val="001A53C7"/>
    <w:rsid w:val="001A5FE3"/>
    <w:rsid w:val="001A6AC3"/>
    <w:rsid w:val="001B1D98"/>
    <w:rsid w:val="001B56CD"/>
    <w:rsid w:val="001B59F3"/>
    <w:rsid w:val="001B6040"/>
    <w:rsid w:val="001B721E"/>
    <w:rsid w:val="001C0043"/>
    <w:rsid w:val="001C015A"/>
    <w:rsid w:val="001C01D4"/>
    <w:rsid w:val="001C1417"/>
    <w:rsid w:val="001C201B"/>
    <w:rsid w:val="001C49E3"/>
    <w:rsid w:val="001C4AFA"/>
    <w:rsid w:val="001C5B0F"/>
    <w:rsid w:val="001C60A9"/>
    <w:rsid w:val="001C696A"/>
    <w:rsid w:val="001C79EF"/>
    <w:rsid w:val="001D0A3E"/>
    <w:rsid w:val="001D130C"/>
    <w:rsid w:val="001D45F2"/>
    <w:rsid w:val="001D4D98"/>
    <w:rsid w:val="001D58C4"/>
    <w:rsid w:val="001E04D4"/>
    <w:rsid w:val="001E194A"/>
    <w:rsid w:val="001E3500"/>
    <w:rsid w:val="001E4B8E"/>
    <w:rsid w:val="001E4CB4"/>
    <w:rsid w:val="001E67E1"/>
    <w:rsid w:val="001F0697"/>
    <w:rsid w:val="001F1510"/>
    <w:rsid w:val="001F2A83"/>
    <w:rsid w:val="001F3975"/>
    <w:rsid w:val="001F50EA"/>
    <w:rsid w:val="001F61AA"/>
    <w:rsid w:val="002006A4"/>
    <w:rsid w:val="002009BC"/>
    <w:rsid w:val="002030CB"/>
    <w:rsid w:val="00204325"/>
    <w:rsid w:val="00204844"/>
    <w:rsid w:val="0020604B"/>
    <w:rsid w:val="00212254"/>
    <w:rsid w:val="00214E5E"/>
    <w:rsid w:val="00215563"/>
    <w:rsid w:val="002156D7"/>
    <w:rsid w:val="0021714B"/>
    <w:rsid w:val="00220E68"/>
    <w:rsid w:val="002224C0"/>
    <w:rsid w:val="00222945"/>
    <w:rsid w:val="00223140"/>
    <w:rsid w:val="002236B3"/>
    <w:rsid w:val="002241DD"/>
    <w:rsid w:val="00224A8C"/>
    <w:rsid w:val="00225E5A"/>
    <w:rsid w:val="00226DD1"/>
    <w:rsid w:val="002275AB"/>
    <w:rsid w:val="00230B3A"/>
    <w:rsid w:val="002330EE"/>
    <w:rsid w:val="0023461D"/>
    <w:rsid w:val="00234A90"/>
    <w:rsid w:val="002357AE"/>
    <w:rsid w:val="00235D02"/>
    <w:rsid w:val="0024259C"/>
    <w:rsid w:val="00242A04"/>
    <w:rsid w:val="00242DBE"/>
    <w:rsid w:val="00244B71"/>
    <w:rsid w:val="00250388"/>
    <w:rsid w:val="0025345E"/>
    <w:rsid w:val="00256046"/>
    <w:rsid w:val="00256170"/>
    <w:rsid w:val="002568A8"/>
    <w:rsid w:val="00256B9D"/>
    <w:rsid w:val="00257EA1"/>
    <w:rsid w:val="002605EF"/>
    <w:rsid w:val="00260C67"/>
    <w:rsid w:val="00261EA2"/>
    <w:rsid w:val="00261EF5"/>
    <w:rsid w:val="00262B63"/>
    <w:rsid w:val="00264804"/>
    <w:rsid w:val="00267CA0"/>
    <w:rsid w:val="00274FF8"/>
    <w:rsid w:val="00275CAE"/>
    <w:rsid w:val="00280071"/>
    <w:rsid w:val="00281DB9"/>
    <w:rsid w:val="0028232F"/>
    <w:rsid w:val="0028256B"/>
    <w:rsid w:val="00286B62"/>
    <w:rsid w:val="00287782"/>
    <w:rsid w:val="00287984"/>
    <w:rsid w:val="00290117"/>
    <w:rsid w:val="00292847"/>
    <w:rsid w:val="0029295E"/>
    <w:rsid w:val="002935B2"/>
    <w:rsid w:val="0029507D"/>
    <w:rsid w:val="002A022C"/>
    <w:rsid w:val="002A0EE2"/>
    <w:rsid w:val="002A20D3"/>
    <w:rsid w:val="002A21BE"/>
    <w:rsid w:val="002A2D1B"/>
    <w:rsid w:val="002A5792"/>
    <w:rsid w:val="002A7481"/>
    <w:rsid w:val="002A76B0"/>
    <w:rsid w:val="002A7815"/>
    <w:rsid w:val="002B1293"/>
    <w:rsid w:val="002B1452"/>
    <w:rsid w:val="002B2F42"/>
    <w:rsid w:val="002B42E1"/>
    <w:rsid w:val="002B4480"/>
    <w:rsid w:val="002B6A3D"/>
    <w:rsid w:val="002B79AB"/>
    <w:rsid w:val="002B7B00"/>
    <w:rsid w:val="002B7B2F"/>
    <w:rsid w:val="002C0AF1"/>
    <w:rsid w:val="002C380C"/>
    <w:rsid w:val="002C5711"/>
    <w:rsid w:val="002C60E9"/>
    <w:rsid w:val="002C7EE8"/>
    <w:rsid w:val="002D143F"/>
    <w:rsid w:val="002D2A6C"/>
    <w:rsid w:val="002D3F5A"/>
    <w:rsid w:val="002D4B4F"/>
    <w:rsid w:val="002D4C51"/>
    <w:rsid w:val="002D525C"/>
    <w:rsid w:val="002D52CB"/>
    <w:rsid w:val="002D5E8F"/>
    <w:rsid w:val="002E009E"/>
    <w:rsid w:val="002E174A"/>
    <w:rsid w:val="002E1F6F"/>
    <w:rsid w:val="002E2A68"/>
    <w:rsid w:val="002E2D72"/>
    <w:rsid w:val="002E5463"/>
    <w:rsid w:val="002E57BC"/>
    <w:rsid w:val="002E5B1B"/>
    <w:rsid w:val="002E7F90"/>
    <w:rsid w:val="002F123B"/>
    <w:rsid w:val="002F2341"/>
    <w:rsid w:val="002F29D9"/>
    <w:rsid w:val="002F38D3"/>
    <w:rsid w:val="002F77A2"/>
    <w:rsid w:val="0030155D"/>
    <w:rsid w:val="00301D3F"/>
    <w:rsid w:val="003033B2"/>
    <w:rsid w:val="00306C7E"/>
    <w:rsid w:val="003101DD"/>
    <w:rsid w:val="00310ACA"/>
    <w:rsid w:val="00310F72"/>
    <w:rsid w:val="0031333F"/>
    <w:rsid w:val="0032465C"/>
    <w:rsid w:val="003255B4"/>
    <w:rsid w:val="00325863"/>
    <w:rsid w:val="00325C17"/>
    <w:rsid w:val="00326867"/>
    <w:rsid w:val="0032740F"/>
    <w:rsid w:val="00327C52"/>
    <w:rsid w:val="00330F31"/>
    <w:rsid w:val="003316D1"/>
    <w:rsid w:val="0033170A"/>
    <w:rsid w:val="00331E0B"/>
    <w:rsid w:val="00333F69"/>
    <w:rsid w:val="003341B3"/>
    <w:rsid w:val="00340982"/>
    <w:rsid w:val="003426F2"/>
    <w:rsid w:val="003427FC"/>
    <w:rsid w:val="0034363F"/>
    <w:rsid w:val="00343643"/>
    <w:rsid w:val="00343B7C"/>
    <w:rsid w:val="003468A0"/>
    <w:rsid w:val="00347832"/>
    <w:rsid w:val="003518FC"/>
    <w:rsid w:val="0035206B"/>
    <w:rsid w:val="003527DB"/>
    <w:rsid w:val="003529CB"/>
    <w:rsid w:val="003543BA"/>
    <w:rsid w:val="00354B8A"/>
    <w:rsid w:val="0035631A"/>
    <w:rsid w:val="00361792"/>
    <w:rsid w:val="00364578"/>
    <w:rsid w:val="003658DB"/>
    <w:rsid w:val="00365DC4"/>
    <w:rsid w:val="00366A2D"/>
    <w:rsid w:val="00366B62"/>
    <w:rsid w:val="00370297"/>
    <w:rsid w:val="00370EF6"/>
    <w:rsid w:val="00373C44"/>
    <w:rsid w:val="003752C1"/>
    <w:rsid w:val="00375C01"/>
    <w:rsid w:val="00377A27"/>
    <w:rsid w:val="003805BD"/>
    <w:rsid w:val="00382E65"/>
    <w:rsid w:val="00385A52"/>
    <w:rsid w:val="00387835"/>
    <w:rsid w:val="00390621"/>
    <w:rsid w:val="00390FC5"/>
    <w:rsid w:val="003914F1"/>
    <w:rsid w:val="003A190D"/>
    <w:rsid w:val="003A2AE5"/>
    <w:rsid w:val="003A3486"/>
    <w:rsid w:val="003A48B0"/>
    <w:rsid w:val="003A4F89"/>
    <w:rsid w:val="003A510B"/>
    <w:rsid w:val="003A538F"/>
    <w:rsid w:val="003B07EE"/>
    <w:rsid w:val="003B0CC9"/>
    <w:rsid w:val="003B0EB6"/>
    <w:rsid w:val="003B484D"/>
    <w:rsid w:val="003B5603"/>
    <w:rsid w:val="003B6904"/>
    <w:rsid w:val="003B6B70"/>
    <w:rsid w:val="003C081C"/>
    <w:rsid w:val="003C39D2"/>
    <w:rsid w:val="003C443A"/>
    <w:rsid w:val="003C6548"/>
    <w:rsid w:val="003C68A6"/>
    <w:rsid w:val="003C6ABA"/>
    <w:rsid w:val="003C6D03"/>
    <w:rsid w:val="003D077C"/>
    <w:rsid w:val="003D2C6A"/>
    <w:rsid w:val="003D33BB"/>
    <w:rsid w:val="003D3AC2"/>
    <w:rsid w:val="003D41A1"/>
    <w:rsid w:val="003E127F"/>
    <w:rsid w:val="003E1D4D"/>
    <w:rsid w:val="003E2E62"/>
    <w:rsid w:val="003E3D05"/>
    <w:rsid w:val="003E3D0B"/>
    <w:rsid w:val="003E6B36"/>
    <w:rsid w:val="003E6F37"/>
    <w:rsid w:val="003F0DB8"/>
    <w:rsid w:val="003F170E"/>
    <w:rsid w:val="003F1EB1"/>
    <w:rsid w:val="003F2451"/>
    <w:rsid w:val="003F3ADA"/>
    <w:rsid w:val="003F5D8F"/>
    <w:rsid w:val="003F69C3"/>
    <w:rsid w:val="003F7414"/>
    <w:rsid w:val="0040074F"/>
    <w:rsid w:val="004050CA"/>
    <w:rsid w:val="00405F4D"/>
    <w:rsid w:val="00406D89"/>
    <w:rsid w:val="00407A46"/>
    <w:rsid w:val="0041042C"/>
    <w:rsid w:val="0041308C"/>
    <w:rsid w:val="0041350B"/>
    <w:rsid w:val="00413F15"/>
    <w:rsid w:val="004142EB"/>
    <w:rsid w:val="00416A41"/>
    <w:rsid w:val="00417A8B"/>
    <w:rsid w:val="004242A6"/>
    <w:rsid w:val="0042463F"/>
    <w:rsid w:val="00426439"/>
    <w:rsid w:val="0042657F"/>
    <w:rsid w:val="0043087F"/>
    <w:rsid w:val="0043150E"/>
    <w:rsid w:val="00431A06"/>
    <w:rsid w:val="00431B64"/>
    <w:rsid w:val="004335A7"/>
    <w:rsid w:val="00433785"/>
    <w:rsid w:val="00434DB0"/>
    <w:rsid w:val="00435EA1"/>
    <w:rsid w:val="0044177B"/>
    <w:rsid w:val="00443BF8"/>
    <w:rsid w:val="004440B1"/>
    <w:rsid w:val="00446E7E"/>
    <w:rsid w:val="00447516"/>
    <w:rsid w:val="00447971"/>
    <w:rsid w:val="004509DF"/>
    <w:rsid w:val="00453929"/>
    <w:rsid w:val="004564AA"/>
    <w:rsid w:val="00457B6B"/>
    <w:rsid w:val="00460888"/>
    <w:rsid w:val="004612D5"/>
    <w:rsid w:val="00461C26"/>
    <w:rsid w:val="004637D7"/>
    <w:rsid w:val="00463CB6"/>
    <w:rsid w:val="00467878"/>
    <w:rsid w:val="00467D31"/>
    <w:rsid w:val="00471A12"/>
    <w:rsid w:val="00471F92"/>
    <w:rsid w:val="004722F8"/>
    <w:rsid w:val="004727C9"/>
    <w:rsid w:val="0047317A"/>
    <w:rsid w:val="004732E5"/>
    <w:rsid w:val="00473890"/>
    <w:rsid w:val="00473AF8"/>
    <w:rsid w:val="00474321"/>
    <w:rsid w:val="004745A0"/>
    <w:rsid w:val="004745B5"/>
    <w:rsid w:val="00476412"/>
    <w:rsid w:val="004770BC"/>
    <w:rsid w:val="00477AD2"/>
    <w:rsid w:val="00477F69"/>
    <w:rsid w:val="004818E4"/>
    <w:rsid w:val="00482FD4"/>
    <w:rsid w:val="004868B7"/>
    <w:rsid w:val="0049268C"/>
    <w:rsid w:val="0049562F"/>
    <w:rsid w:val="004971DF"/>
    <w:rsid w:val="0049723B"/>
    <w:rsid w:val="004A0D5B"/>
    <w:rsid w:val="004A20EA"/>
    <w:rsid w:val="004A2AF7"/>
    <w:rsid w:val="004A2CE0"/>
    <w:rsid w:val="004A2DC6"/>
    <w:rsid w:val="004A3E54"/>
    <w:rsid w:val="004A4C3A"/>
    <w:rsid w:val="004A532D"/>
    <w:rsid w:val="004A74BA"/>
    <w:rsid w:val="004A76CB"/>
    <w:rsid w:val="004B47F9"/>
    <w:rsid w:val="004B6580"/>
    <w:rsid w:val="004B66E6"/>
    <w:rsid w:val="004B6D1A"/>
    <w:rsid w:val="004C213D"/>
    <w:rsid w:val="004C2ECF"/>
    <w:rsid w:val="004C6997"/>
    <w:rsid w:val="004C717C"/>
    <w:rsid w:val="004D1C59"/>
    <w:rsid w:val="004D3045"/>
    <w:rsid w:val="004D3598"/>
    <w:rsid w:val="004D56F6"/>
    <w:rsid w:val="004D59F1"/>
    <w:rsid w:val="004E02BF"/>
    <w:rsid w:val="004E0D1D"/>
    <w:rsid w:val="004E2911"/>
    <w:rsid w:val="004E2C41"/>
    <w:rsid w:val="004E3A80"/>
    <w:rsid w:val="004E66FC"/>
    <w:rsid w:val="004E76AC"/>
    <w:rsid w:val="004F12D2"/>
    <w:rsid w:val="004F1E6F"/>
    <w:rsid w:val="004F2743"/>
    <w:rsid w:val="004F58A1"/>
    <w:rsid w:val="004F60A2"/>
    <w:rsid w:val="004F6FFE"/>
    <w:rsid w:val="004F7FB9"/>
    <w:rsid w:val="005004DF"/>
    <w:rsid w:val="00500968"/>
    <w:rsid w:val="00500B92"/>
    <w:rsid w:val="005012EC"/>
    <w:rsid w:val="005026C0"/>
    <w:rsid w:val="00502AC6"/>
    <w:rsid w:val="0050513D"/>
    <w:rsid w:val="0050691D"/>
    <w:rsid w:val="00507C87"/>
    <w:rsid w:val="00510182"/>
    <w:rsid w:val="00512085"/>
    <w:rsid w:val="00512A58"/>
    <w:rsid w:val="00513C7F"/>
    <w:rsid w:val="005150CA"/>
    <w:rsid w:val="0051524D"/>
    <w:rsid w:val="0051621D"/>
    <w:rsid w:val="005176E4"/>
    <w:rsid w:val="00521BB1"/>
    <w:rsid w:val="0052507C"/>
    <w:rsid w:val="005261AC"/>
    <w:rsid w:val="00526BD1"/>
    <w:rsid w:val="00526EDC"/>
    <w:rsid w:val="00527E1B"/>
    <w:rsid w:val="005300BE"/>
    <w:rsid w:val="00531120"/>
    <w:rsid w:val="0053258D"/>
    <w:rsid w:val="00532C0E"/>
    <w:rsid w:val="00532F6F"/>
    <w:rsid w:val="0053302D"/>
    <w:rsid w:val="0053363C"/>
    <w:rsid w:val="00534A16"/>
    <w:rsid w:val="00534FD0"/>
    <w:rsid w:val="00535497"/>
    <w:rsid w:val="00535B79"/>
    <w:rsid w:val="005373DB"/>
    <w:rsid w:val="00537BB7"/>
    <w:rsid w:val="005407D8"/>
    <w:rsid w:val="00542B5B"/>
    <w:rsid w:val="0054305E"/>
    <w:rsid w:val="00543B2E"/>
    <w:rsid w:val="005446B6"/>
    <w:rsid w:val="00545878"/>
    <w:rsid w:val="0054589E"/>
    <w:rsid w:val="00546482"/>
    <w:rsid w:val="005466C0"/>
    <w:rsid w:val="00546EFC"/>
    <w:rsid w:val="005504F5"/>
    <w:rsid w:val="00550F43"/>
    <w:rsid w:val="00551B5B"/>
    <w:rsid w:val="005530AB"/>
    <w:rsid w:val="00553244"/>
    <w:rsid w:val="00554EAB"/>
    <w:rsid w:val="00556D74"/>
    <w:rsid w:val="00560A01"/>
    <w:rsid w:val="00560C99"/>
    <w:rsid w:val="00561A90"/>
    <w:rsid w:val="00562490"/>
    <w:rsid w:val="005652C0"/>
    <w:rsid w:val="00565631"/>
    <w:rsid w:val="00566934"/>
    <w:rsid w:val="00567899"/>
    <w:rsid w:val="00567E09"/>
    <w:rsid w:val="00567EE6"/>
    <w:rsid w:val="005703B4"/>
    <w:rsid w:val="00570DC2"/>
    <w:rsid w:val="00571B5F"/>
    <w:rsid w:val="00574853"/>
    <w:rsid w:val="00575176"/>
    <w:rsid w:val="00576784"/>
    <w:rsid w:val="00580FAD"/>
    <w:rsid w:val="0058102F"/>
    <w:rsid w:val="005816F2"/>
    <w:rsid w:val="00581BF8"/>
    <w:rsid w:val="00584486"/>
    <w:rsid w:val="0058670F"/>
    <w:rsid w:val="0058740C"/>
    <w:rsid w:val="00587F39"/>
    <w:rsid w:val="005909C6"/>
    <w:rsid w:val="00591FD2"/>
    <w:rsid w:val="00593AFB"/>
    <w:rsid w:val="0059430D"/>
    <w:rsid w:val="005A05CA"/>
    <w:rsid w:val="005A0638"/>
    <w:rsid w:val="005A1280"/>
    <w:rsid w:val="005A2395"/>
    <w:rsid w:val="005A3405"/>
    <w:rsid w:val="005A45AF"/>
    <w:rsid w:val="005A6854"/>
    <w:rsid w:val="005A68D9"/>
    <w:rsid w:val="005B097F"/>
    <w:rsid w:val="005B0B8D"/>
    <w:rsid w:val="005B2BD1"/>
    <w:rsid w:val="005B431E"/>
    <w:rsid w:val="005B4D4F"/>
    <w:rsid w:val="005B6559"/>
    <w:rsid w:val="005B6855"/>
    <w:rsid w:val="005C0E08"/>
    <w:rsid w:val="005C0FAA"/>
    <w:rsid w:val="005C1BA0"/>
    <w:rsid w:val="005C1E25"/>
    <w:rsid w:val="005C35C2"/>
    <w:rsid w:val="005C3773"/>
    <w:rsid w:val="005C4783"/>
    <w:rsid w:val="005C4B9D"/>
    <w:rsid w:val="005C5B33"/>
    <w:rsid w:val="005C6FD2"/>
    <w:rsid w:val="005D348E"/>
    <w:rsid w:val="005D3D34"/>
    <w:rsid w:val="005D3E55"/>
    <w:rsid w:val="005D5107"/>
    <w:rsid w:val="005E0F10"/>
    <w:rsid w:val="005E284C"/>
    <w:rsid w:val="005E2B8D"/>
    <w:rsid w:val="005E3E16"/>
    <w:rsid w:val="005E4D16"/>
    <w:rsid w:val="005E61DE"/>
    <w:rsid w:val="005E71B9"/>
    <w:rsid w:val="005F0F33"/>
    <w:rsid w:val="005F47C0"/>
    <w:rsid w:val="005F64AA"/>
    <w:rsid w:val="005F7E10"/>
    <w:rsid w:val="00601BA3"/>
    <w:rsid w:val="00602286"/>
    <w:rsid w:val="00603665"/>
    <w:rsid w:val="00604A8F"/>
    <w:rsid w:val="006118C3"/>
    <w:rsid w:val="006124DB"/>
    <w:rsid w:val="00613DB6"/>
    <w:rsid w:val="006162F9"/>
    <w:rsid w:val="00621DD2"/>
    <w:rsid w:val="00622FE1"/>
    <w:rsid w:val="00623A3F"/>
    <w:rsid w:val="00623EDD"/>
    <w:rsid w:val="00626E98"/>
    <w:rsid w:val="00626FD6"/>
    <w:rsid w:val="0063720F"/>
    <w:rsid w:val="006403F5"/>
    <w:rsid w:val="00645457"/>
    <w:rsid w:val="00646660"/>
    <w:rsid w:val="00647C73"/>
    <w:rsid w:val="00647F1F"/>
    <w:rsid w:val="00652151"/>
    <w:rsid w:val="00654318"/>
    <w:rsid w:val="0065542A"/>
    <w:rsid w:val="0065785A"/>
    <w:rsid w:val="00660AD5"/>
    <w:rsid w:val="00663F40"/>
    <w:rsid w:val="00665972"/>
    <w:rsid w:val="00670275"/>
    <w:rsid w:val="00671C9C"/>
    <w:rsid w:val="0067288F"/>
    <w:rsid w:val="00672C1B"/>
    <w:rsid w:val="00673638"/>
    <w:rsid w:val="00674759"/>
    <w:rsid w:val="006779EF"/>
    <w:rsid w:val="0068075B"/>
    <w:rsid w:val="00681616"/>
    <w:rsid w:val="006851A5"/>
    <w:rsid w:val="00687852"/>
    <w:rsid w:val="00690D01"/>
    <w:rsid w:val="0069174F"/>
    <w:rsid w:val="006918E8"/>
    <w:rsid w:val="00692B42"/>
    <w:rsid w:val="00695185"/>
    <w:rsid w:val="006A0140"/>
    <w:rsid w:val="006A051C"/>
    <w:rsid w:val="006A0CDA"/>
    <w:rsid w:val="006A218D"/>
    <w:rsid w:val="006A275C"/>
    <w:rsid w:val="006A4640"/>
    <w:rsid w:val="006A7184"/>
    <w:rsid w:val="006B03BE"/>
    <w:rsid w:val="006B0DDD"/>
    <w:rsid w:val="006B2911"/>
    <w:rsid w:val="006B31A9"/>
    <w:rsid w:val="006B35FF"/>
    <w:rsid w:val="006B4131"/>
    <w:rsid w:val="006B7649"/>
    <w:rsid w:val="006C012E"/>
    <w:rsid w:val="006C3A99"/>
    <w:rsid w:val="006C408E"/>
    <w:rsid w:val="006C43CF"/>
    <w:rsid w:val="006C4613"/>
    <w:rsid w:val="006C7099"/>
    <w:rsid w:val="006C71FC"/>
    <w:rsid w:val="006D058A"/>
    <w:rsid w:val="006D089A"/>
    <w:rsid w:val="006D181B"/>
    <w:rsid w:val="006D2CEB"/>
    <w:rsid w:val="006D5E69"/>
    <w:rsid w:val="006D6314"/>
    <w:rsid w:val="006D6873"/>
    <w:rsid w:val="006E1FCE"/>
    <w:rsid w:val="006E2158"/>
    <w:rsid w:val="006E3ADD"/>
    <w:rsid w:val="006E3CB4"/>
    <w:rsid w:val="006E4D0D"/>
    <w:rsid w:val="006E4D6C"/>
    <w:rsid w:val="006E5D55"/>
    <w:rsid w:val="006E5F8D"/>
    <w:rsid w:val="006E654D"/>
    <w:rsid w:val="006F1325"/>
    <w:rsid w:val="006F15C8"/>
    <w:rsid w:val="006F20E8"/>
    <w:rsid w:val="006F248A"/>
    <w:rsid w:val="006F2F07"/>
    <w:rsid w:val="006F3AF8"/>
    <w:rsid w:val="006F6329"/>
    <w:rsid w:val="006F6562"/>
    <w:rsid w:val="006F6E9E"/>
    <w:rsid w:val="00703DE9"/>
    <w:rsid w:val="00704046"/>
    <w:rsid w:val="00704358"/>
    <w:rsid w:val="00704700"/>
    <w:rsid w:val="007064C5"/>
    <w:rsid w:val="0071152A"/>
    <w:rsid w:val="007124EC"/>
    <w:rsid w:val="007131DB"/>
    <w:rsid w:val="00714661"/>
    <w:rsid w:val="00714AA5"/>
    <w:rsid w:val="00714B09"/>
    <w:rsid w:val="00714FF0"/>
    <w:rsid w:val="007165F9"/>
    <w:rsid w:val="007167F4"/>
    <w:rsid w:val="00716C6B"/>
    <w:rsid w:val="00717C53"/>
    <w:rsid w:val="007213A2"/>
    <w:rsid w:val="00721BCB"/>
    <w:rsid w:val="007239BF"/>
    <w:rsid w:val="00724AD6"/>
    <w:rsid w:val="00724E9F"/>
    <w:rsid w:val="00727AFB"/>
    <w:rsid w:val="00730AD6"/>
    <w:rsid w:val="00733580"/>
    <w:rsid w:val="00736AF9"/>
    <w:rsid w:val="00742009"/>
    <w:rsid w:val="007421A6"/>
    <w:rsid w:val="00745617"/>
    <w:rsid w:val="0074628F"/>
    <w:rsid w:val="0075094D"/>
    <w:rsid w:val="00750AD6"/>
    <w:rsid w:val="00752B3C"/>
    <w:rsid w:val="00752B81"/>
    <w:rsid w:val="007547DE"/>
    <w:rsid w:val="00754B09"/>
    <w:rsid w:val="00754D9E"/>
    <w:rsid w:val="007550DA"/>
    <w:rsid w:val="0075746E"/>
    <w:rsid w:val="00757D2D"/>
    <w:rsid w:val="00761626"/>
    <w:rsid w:val="00763BEE"/>
    <w:rsid w:val="00766196"/>
    <w:rsid w:val="007677C2"/>
    <w:rsid w:val="00767810"/>
    <w:rsid w:val="0077047A"/>
    <w:rsid w:val="00770853"/>
    <w:rsid w:val="00770EC3"/>
    <w:rsid w:val="00771141"/>
    <w:rsid w:val="00772D3F"/>
    <w:rsid w:val="007730FB"/>
    <w:rsid w:val="007733DA"/>
    <w:rsid w:val="007734BF"/>
    <w:rsid w:val="00774132"/>
    <w:rsid w:val="00776695"/>
    <w:rsid w:val="00776AAF"/>
    <w:rsid w:val="0078214D"/>
    <w:rsid w:val="0078542B"/>
    <w:rsid w:val="00785559"/>
    <w:rsid w:val="007901C4"/>
    <w:rsid w:val="00791F2D"/>
    <w:rsid w:val="00792B26"/>
    <w:rsid w:val="00796377"/>
    <w:rsid w:val="00796F67"/>
    <w:rsid w:val="00797035"/>
    <w:rsid w:val="00797CE7"/>
    <w:rsid w:val="007A092D"/>
    <w:rsid w:val="007A1BE0"/>
    <w:rsid w:val="007A24C3"/>
    <w:rsid w:val="007A56CC"/>
    <w:rsid w:val="007A674C"/>
    <w:rsid w:val="007A759A"/>
    <w:rsid w:val="007B0824"/>
    <w:rsid w:val="007B1E5C"/>
    <w:rsid w:val="007B21B3"/>
    <w:rsid w:val="007B3427"/>
    <w:rsid w:val="007B3CD7"/>
    <w:rsid w:val="007B4946"/>
    <w:rsid w:val="007B4B7A"/>
    <w:rsid w:val="007B5DCB"/>
    <w:rsid w:val="007B6786"/>
    <w:rsid w:val="007B75BF"/>
    <w:rsid w:val="007C044A"/>
    <w:rsid w:val="007C1C47"/>
    <w:rsid w:val="007C1E6E"/>
    <w:rsid w:val="007C39FF"/>
    <w:rsid w:val="007C3EE7"/>
    <w:rsid w:val="007C5899"/>
    <w:rsid w:val="007C5AC8"/>
    <w:rsid w:val="007C7CF7"/>
    <w:rsid w:val="007D1360"/>
    <w:rsid w:val="007D5620"/>
    <w:rsid w:val="007D7AAB"/>
    <w:rsid w:val="007D7C00"/>
    <w:rsid w:val="007E0CDD"/>
    <w:rsid w:val="007E41D2"/>
    <w:rsid w:val="007E6318"/>
    <w:rsid w:val="007E69A3"/>
    <w:rsid w:val="007E6D52"/>
    <w:rsid w:val="007F0840"/>
    <w:rsid w:val="007F152E"/>
    <w:rsid w:val="007F47CF"/>
    <w:rsid w:val="007F53C7"/>
    <w:rsid w:val="007F60D2"/>
    <w:rsid w:val="007F6435"/>
    <w:rsid w:val="007F6F2E"/>
    <w:rsid w:val="0080093B"/>
    <w:rsid w:val="00803162"/>
    <w:rsid w:val="00806616"/>
    <w:rsid w:val="00806A70"/>
    <w:rsid w:val="008074BF"/>
    <w:rsid w:val="00810543"/>
    <w:rsid w:val="008111C7"/>
    <w:rsid w:val="008119B5"/>
    <w:rsid w:val="00811BDA"/>
    <w:rsid w:val="00812B60"/>
    <w:rsid w:val="0081458C"/>
    <w:rsid w:val="00816013"/>
    <w:rsid w:val="0081617B"/>
    <w:rsid w:val="00816BF7"/>
    <w:rsid w:val="00816EFA"/>
    <w:rsid w:val="0082466F"/>
    <w:rsid w:val="00824BD0"/>
    <w:rsid w:val="00824FEC"/>
    <w:rsid w:val="00832187"/>
    <w:rsid w:val="008333BC"/>
    <w:rsid w:val="00833CD9"/>
    <w:rsid w:val="00836884"/>
    <w:rsid w:val="00836CEA"/>
    <w:rsid w:val="00836E96"/>
    <w:rsid w:val="00837D93"/>
    <w:rsid w:val="008406DD"/>
    <w:rsid w:val="00840ADB"/>
    <w:rsid w:val="00840AE2"/>
    <w:rsid w:val="008414F5"/>
    <w:rsid w:val="00841CB9"/>
    <w:rsid w:val="0084437F"/>
    <w:rsid w:val="0084627D"/>
    <w:rsid w:val="00847576"/>
    <w:rsid w:val="00850598"/>
    <w:rsid w:val="00851B81"/>
    <w:rsid w:val="00851E70"/>
    <w:rsid w:val="00851F5B"/>
    <w:rsid w:val="0085248B"/>
    <w:rsid w:val="0085255D"/>
    <w:rsid w:val="008534B6"/>
    <w:rsid w:val="00853C1E"/>
    <w:rsid w:val="00854702"/>
    <w:rsid w:val="00855E00"/>
    <w:rsid w:val="00855E87"/>
    <w:rsid w:val="00856429"/>
    <w:rsid w:val="00860E21"/>
    <w:rsid w:val="008629EE"/>
    <w:rsid w:val="00863DA8"/>
    <w:rsid w:val="00864DAF"/>
    <w:rsid w:val="0086654B"/>
    <w:rsid w:val="00866E22"/>
    <w:rsid w:val="00866E40"/>
    <w:rsid w:val="00870529"/>
    <w:rsid w:val="008740AE"/>
    <w:rsid w:val="00874436"/>
    <w:rsid w:val="00880695"/>
    <w:rsid w:val="00881856"/>
    <w:rsid w:val="00881DE1"/>
    <w:rsid w:val="008851E0"/>
    <w:rsid w:val="008866BE"/>
    <w:rsid w:val="008908F7"/>
    <w:rsid w:val="00890CA9"/>
    <w:rsid w:val="00891B3A"/>
    <w:rsid w:val="00891B66"/>
    <w:rsid w:val="00894CCA"/>
    <w:rsid w:val="008957FE"/>
    <w:rsid w:val="00895FEE"/>
    <w:rsid w:val="008975AC"/>
    <w:rsid w:val="008A373C"/>
    <w:rsid w:val="008A4AE3"/>
    <w:rsid w:val="008A79B4"/>
    <w:rsid w:val="008B0B49"/>
    <w:rsid w:val="008B1EA4"/>
    <w:rsid w:val="008B3F2B"/>
    <w:rsid w:val="008B677A"/>
    <w:rsid w:val="008C177E"/>
    <w:rsid w:val="008C22E7"/>
    <w:rsid w:val="008C2BA5"/>
    <w:rsid w:val="008C58A2"/>
    <w:rsid w:val="008C6D84"/>
    <w:rsid w:val="008D1508"/>
    <w:rsid w:val="008D54F5"/>
    <w:rsid w:val="008D5F6F"/>
    <w:rsid w:val="008D6E49"/>
    <w:rsid w:val="008E045E"/>
    <w:rsid w:val="008E1531"/>
    <w:rsid w:val="008E1A9B"/>
    <w:rsid w:val="008E1E7C"/>
    <w:rsid w:val="008E2FA0"/>
    <w:rsid w:val="008E5A09"/>
    <w:rsid w:val="008E6376"/>
    <w:rsid w:val="008F0086"/>
    <w:rsid w:val="008F103A"/>
    <w:rsid w:val="008F10D6"/>
    <w:rsid w:val="008F1DB9"/>
    <w:rsid w:val="008F4275"/>
    <w:rsid w:val="008F577E"/>
    <w:rsid w:val="008F7E92"/>
    <w:rsid w:val="00901196"/>
    <w:rsid w:val="00902631"/>
    <w:rsid w:val="00903137"/>
    <w:rsid w:val="009036E4"/>
    <w:rsid w:val="009037F5"/>
    <w:rsid w:val="009061CF"/>
    <w:rsid w:val="00911625"/>
    <w:rsid w:val="009121EA"/>
    <w:rsid w:val="00913B03"/>
    <w:rsid w:val="00915968"/>
    <w:rsid w:val="00915FAD"/>
    <w:rsid w:val="009173DF"/>
    <w:rsid w:val="0091774A"/>
    <w:rsid w:val="00917FE7"/>
    <w:rsid w:val="00921E08"/>
    <w:rsid w:val="00922878"/>
    <w:rsid w:val="00923C5B"/>
    <w:rsid w:val="00923E6D"/>
    <w:rsid w:val="0092468D"/>
    <w:rsid w:val="00927768"/>
    <w:rsid w:val="00927914"/>
    <w:rsid w:val="00927C9A"/>
    <w:rsid w:val="0093128E"/>
    <w:rsid w:val="00932AF5"/>
    <w:rsid w:val="0093316E"/>
    <w:rsid w:val="00933809"/>
    <w:rsid w:val="00936E82"/>
    <w:rsid w:val="00940B17"/>
    <w:rsid w:val="00944D8C"/>
    <w:rsid w:val="00946542"/>
    <w:rsid w:val="009468B5"/>
    <w:rsid w:val="009507C7"/>
    <w:rsid w:val="00950C99"/>
    <w:rsid w:val="00951C6C"/>
    <w:rsid w:val="009529FD"/>
    <w:rsid w:val="00956E7B"/>
    <w:rsid w:val="00957884"/>
    <w:rsid w:val="00961220"/>
    <w:rsid w:val="0096174B"/>
    <w:rsid w:val="009624CA"/>
    <w:rsid w:val="0096644F"/>
    <w:rsid w:val="00966D82"/>
    <w:rsid w:val="009718AB"/>
    <w:rsid w:val="00972ECC"/>
    <w:rsid w:val="00973CE5"/>
    <w:rsid w:val="00973D52"/>
    <w:rsid w:val="00973E6F"/>
    <w:rsid w:val="00980230"/>
    <w:rsid w:val="00980697"/>
    <w:rsid w:val="009809F0"/>
    <w:rsid w:val="009814FF"/>
    <w:rsid w:val="009819C3"/>
    <w:rsid w:val="00982CA0"/>
    <w:rsid w:val="00983BE3"/>
    <w:rsid w:val="00983CD9"/>
    <w:rsid w:val="00985871"/>
    <w:rsid w:val="00985BB9"/>
    <w:rsid w:val="0098640C"/>
    <w:rsid w:val="009922C3"/>
    <w:rsid w:val="00992A31"/>
    <w:rsid w:val="009A0E49"/>
    <w:rsid w:val="009A3ACF"/>
    <w:rsid w:val="009A3BAE"/>
    <w:rsid w:val="009A55FD"/>
    <w:rsid w:val="009A5FD7"/>
    <w:rsid w:val="009B0882"/>
    <w:rsid w:val="009B10E2"/>
    <w:rsid w:val="009B141F"/>
    <w:rsid w:val="009B25E8"/>
    <w:rsid w:val="009B2EF1"/>
    <w:rsid w:val="009B3406"/>
    <w:rsid w:val="009B50E5"/>
    <w:rsid w:val="009B7DBE"/>
    <w:rsid w:val="009C02A0"/>
    <w:rsid w:val="009C117D"/>
    <w:rsid w:val="009C12CD"/>
    <w:rsid w:val="009C13F9"/>
    <w:rsid w:val="009C3A75"/>
    <w:rsid w:val="009C5463"/>
    <w:rsid w:val="009C5936"/>
    <w:rsid w:val="009C5FE9"/>
    <w:rsid w:val="009D3FCC"/>
    <w:rsid w:val="009D769A"/>
    <w:rsid w:val="009E0915"/>
    <w:rsid w:val="009E1738"/>
    <w:rsid w:val="009E23A2"/>
    <w:rsid w:val="009E26B5"/>
    <w:rsid w:val="009E4783"/>
    <w:rsid w:val="009E6004"/>
    <w:rsid w:val="009E7719"/>
    <w:rsid w:val="009E78A9"/>
    <w:rsid w:val="009F363C"/>
    <w:rsid w:val="009F36FC"/>
    <w:rsid w:val="009F5C0E"/>
    <w:rsid w:val="009F70CA"/>
    <w:rsid w:val="00A0260E"/>
    <w:rsid w:val="00A035EC"/>
    <w:rsid w:val="00A03C2E"/>
    <w:rsid w:val="00A05C09"/>
    <w:rsid w:val="00A06903"/>
    <w:rsid w:val="00A07DB4"/>
    <w:rsid w:val="00A102A5"/>
    <w:rsid w:val="00A1104F"/>
    <w:rsid w:val="00A1216D"/>
    <w:rsid w:val="00A125CD"/>
    <w:rsid w:val="00A14089"/>
    <w:rsid w:val="00A141F5"/>
    <w:rsid w:val="00A1445D"/>
    <w:rsid w:val="00A14B3F"/>
    <w:rsid w:val="00A1549F"/>
    <w:rsid w:val="00A155CC"/>
    <w:rsid w:val="00A169C5"/>
    <w:rsid w:val="00A169ED"/>
    <w:rsid w:val="00A172D0"/>
    <w:rsid w:val="00A20A28"/>
    <w:rsid w:val="00A22301"/>
    <w:rsid w:val="00A2300E"/>
    <w:rsid w:val="00A23CF2"/>
    <w:rsid w:val="00A250AD"/>
    <w:rsid w:val="00A30DE6"/>
    <w:rsid w:val="00A30E61"/>
    <w:rsid w:val="00A30F36"/>
    <w:rsid w:val="00A3337B"/>
    <w:rsid w:val="00A335AC"/>
    <w:rsid w:val="00A411B2"/>
    <w:rsid w:val="00A43E51"/>
    <w:rsid w:val="00A47D6A"/>
    <w:rsid w:val="00A51BD3"/>
    <w:rsid w:val="00A51CC8"/>
    <w:rsid w:val="00A52788"/>
    <w:rsid w:val="00A537D4"/>
    <w:rsid w:val="00A56D77"/>
    <w:rsid w:val="00A575D6"/>
    <w:rsid w:val="00A62907"/>
    <w:rsid w:val="00A62EA9"/>
    <w:rsid w:val="00A632EF"/>
    <w:rsid w:val="00A63DEF"/>
    <w:rsid w:val="00A650E3"/>
    <w:rsid w:val="00A657EE"/>
    <w:rsid w:val="00A67931"/>
    <w:rsid w:val="00A72455"/>
    <w:rsid w:val="00A74E38"/>
    <w:rsid w:val="00A77FDD"/>
    <w:rsid w:val="00A8371D"/>
    <w:rsid w:val="00A84438"/>
    <w:rsid w:val="00A85001"/>
    <w:rsid w:val="00A860B1"/>
    <w:rsid w:val="00A874DD"/>
    <w:rsid w:val="00A87FBD"/>
    <w:rsid w:val="00AA1B7A"/>
    <w:rsid w:val="00AA303B"/>
    <w:rsid w:val="00AA3F34"/>
    <w:rsid w:val="00AB0E47"/>
    <w:rsid w:val="00AB1E0D"/>
    <w:rsid w:val="00AB211C"/>
    <w:rsid w:val="00AB44E5"/>
    <w:rsid w:val="00AB4D41"/>
    <w:rsid w:val="00AB74B9"/>
    <w:rsid w:val="00AB77A2"/>
    <w:rsid w:val="00AC04A4"/>
    <w:rsid w:val="00AC0761"/>
    <w:rsid w:val="00AC0ED9"/>
    <w:rsid w:val="00AC2259"/>
    <w:rsid w:val="00AC3279"/>
    <w:rsid w:val="00AC4B2A"/>
    <w:rsid w:val="00AC4E59"/>
    <w:rsid w:val="00AC62FD"/>
    <w:rsid w:val="00AC6465"/>
    <w:rsid w:val="00AD0C30"/>
    <w:rsid w:val="00AD3FD7"/>
    <w:rsid w:val="00AD4133"/>
    <w:rsid w:val="00AE1EDE"/>
    <w:rsid w:val="00AE24BE"/>
    <w:rsid w:val="00AE3C77"/>
    <w:rsid w:val="00AE51AD"/>
    <w:rsid w:val="00AE540E"/>
    <w:rsid w:val="00AE7034"/>
    <w:rsid w:val="00AE7BAF"/>
    <w:rsid w:val="00AF183F"/>
    <w:rsid w:val="00AF260D"/>
    <w:rsid w:val="00AF2EE7"/>
    <w:rsid w:val="00AF71C1"/>
    <w:rsid w:val="00B007E1"/>
    <w:rsid w:val="00B03526"/>
    <w:rsid w:val="00B0379D"/>
    <w:rsid w:val="00B04D10"/>
    <w:rsid w:val="00B059F0"/>
    <w:rsid w:val="00B05A98"/>
    <w:rsid w:val="00B063CC"/>
    <w:rsid w:val="00B07DCE"/>
    <w:rsid w:val="00B1017C"/>
    <w:rsid w:val="00B11538"/>
    <w:rsid w:val="00B11F78"/>
    <w:rsid w:val="00B12900"/>
    <w:rsid w:val="00B20520"/>
    <w:rsid w:val="00B21D98"/>
    <w:rsid w:val="00B22118"/>
    <w:rsid w:val="00B237E0"/>
    <w:rsid w:val="00B23875"/>
    <w:rsid w:val="00B23C47"/>
    <w:rsid w:val="00B25BDF"/>
    <w:rsid w:val="00B25D6F"/>
    <w:rsid w:val="00B26B39"/>
    <w:rsid w:val="00B27885"/>
    <w:rsid w:val="00B30390"/>
    <w:rsid w:val="00B33D08"/>
    <w:rsid w:val="00B34F85"/>
    <w:rsid w:val="00B40A27"/>
    <w:rsid w:val="00B41321"/>
    <w:rsid w:val="00B41472"/>
    <w:rsid w:val="00B41966"/>
    <w:rsid w:val="00B42E96"/>
    <w:rsid w:val="00B45A46"/>
    <w:rsid w:val="00B45ECA"/>
    <w:rsid w:val="00B52277"/>
    <w:rsid w:val="00B52D24"/>
    <w:rsid w:val="00B5341C"/>
    <w:rsid w:val="00B53B26"/>
    <w:rsid w:val="00B543D7"/>
    <w:rsid w:val="00B5477A"/>
    <w:rsid w:val="00B55356"/>
    <w:rsid w:val="00B55BB1"/>
    <w:rsid w:val="00B55C4A"/>
    <w:rsid w:val="00B569AA"/>
    <w:rsid w:val="00B56F78"/>
    <w:rsid w:val="00B63DC8"/>
    <w:rsid w:val="00B64142"/>
    <w:rsid w:val="00B66FB2"/>
    <w:rsid w:val="00B67DE5"/>
    <w:rsid w:val="00B702F4"/>
    <w:rsid w:val="00B70864"/>
    <w:rsid w:val="00B70C65"/>
    <w:rsid w:val="00B71547"/>
    <w:rsid w:val="00B71733"/>
    <w:rsid w:val="00B726D2"/>
    <w:rsid w:val="00B72B4B"/>
    <w:rsid w:val="00B74005"/>
    <w:rsid w:val="00B76234"/>
    <w:rsid w:val="00B76C23"/>
    <w:rsid w:val="00B82162"/>
    <w:rsid w:val="00B8266E"/>
    <w:rsid w:val="00B84347"/>
    <w:rsid w:val="00B84BB1"/>
    <w:rsid w:val="00B86F9E"/>
    <w:rsid w:val="00B912DA"/>
    <w:rsid w:val="00B912F4"/>
    <w:rsid w:val="00B933A5"/>
    <w:rsid w:val="00B93BF8"/>
    <w:rsid w:val="00B93FC0"/>
    <w:rsid w:val="00BA13E7"/>
    <w:rsid w:val="00BA3B12"/>
    <w:rsid w:val="00BA4B96"/>
    <w:rsid w:val="00BA5AE6"/>
    <w:rsid w:val="00BA5BF0"/>
    <w:rsid w:val="00BA7165"/>
    <w:rsid w:val="00BA7297"/>
    <w:rsid w:val="00BB0182"/>
    <w:rsid w:val="00BB0A14"/>
    <w:rsid w:val="00BB25CB"/>
    <w:rsid w:val="00BB6955"/>
    <w:rsid w:val="00BB6BA2"/>
    <w:rsid w:val="00BB744E"/>
    <w:rsid w:val="00BC07C4"/>
    <w:rsid w:val="00BC0FD5"/>
    <w:rsid w:val="00BC18C5"/>
    <w:rsid w:val="00BC24A1"/>
    <w:rsid w:val="00BC62BB"/>
    <w:rsid w:val="00BC7D70"/>
    <w:rsid w:val="00BD1278"/>
    <w:rsid w:val="00BD1DEB"/>
    <w:rsid w:val="00BD2E1A"/>
    <w:rsid w:val="00BD48F4"/>
    <w:rsid w:val="00BE5962"/>
    <w:rsid w:val="00BE6F4E"/>
    <w:rsid w:val="00BF08D6"/>
    <w:rsid w:val="00BF201A"/>
    <w:rsid w:val="00BF2278"/>
    <w:rsid w:val="00BF2863"/>
    <w:rsid w:val="00BF441B"/>
    <w:rsid w:val="00BF637F"/>
    <w:rsid w:val="00C03D8B"/>
    <w:rsid w:val="00C043B2"/>
    <w:rsid w:val="00C044F4"/>
    <w:rsid w:val="00C053F1"/>
    <w:rsid w:val="00C0660E"/>
    <w:rsid w:val="00C14473"/>
    <w:rsid w:val="00C15DAA"/>
    <w:rsid w:val="00C15F8B"/>
    <w:rsid w:val="00C17FCB"/>
    <w:rsid w:val="00C20965"/>
    <w:rsid w:val="00C22B88"/>
    <w:rsid w:val="00C24AA1"/>
    <w:rsid w:val="00C25185"/>
    <w:rsid w:val="00C25A4F"/>
    <w:rsid w:val="00C265EC"/>
    <w:rsid w:val="00C31416"/>
    <w:rsid w:val="00C3360C"/>
    <w:rsid w:val="00C3372D"/>
    <w:rsid w:val="00C35963"/>
    <w:rsid w:val="00C36841"/>
    <w:rsid w:val="00C408F3"/>
    <w:rsid w:val="00C40D0D"/>
    <w:rsid w:val="00C4102E"/>
    <w:rsid w:val="00C44F8C"/>
    <w:rsid w:val="00C4583D"/>
    <w:rsid w:val="00C5089E"/>
    <w:rsid w:val="00C5165E"/>
    <w:rsid w:val="00C53A59"/>
    <w:rsid w:val="00C5567D"/>
    <w:rsid w:val="00C5588C"/>
    <w:rsid w:val="00C56376"/>
    <w:rsid w:val="00C5650F"/>
    <w:rsid w:val="00C574E4"/>
    <w:rsid w:val="00C60DC4"/>
    <w:rsid w:val="00C63C0B"/>
    <w:rsid w:val="00C64633"/>
    <w:rsid w:val="00C66533"/>
    <w:rsid w:val="00C67945"/>
    <w:rsid w:val="00C7081B"/>
    <w:rsid w:val="00C74ACB"/>
    <w:rsid w:val="00C75206"/>
    <w:rsid w:val="00C75A74"/>
    <w:rsid w:val="00C7719A"/>
    <w:rsid w:val="00C77F5F"/>
    <w:rsid w:val="00C804C6"/>
    <w:rsid w:val="00C807C6"/>
    <w:rsid w:val="00C80DF7"/>
    <w:rsid w:val="00C815B1"/>
    <w:rsid w:val="00C81936"/>
    <w:rsid w:val="00C838EA"/>
    <w:rsid w:val="00C85463"/>
    <w:rsid w:val="00C90646"/>
    <w:rsid w:val="00C95144"/>
    <w:rsid w:val="00C951D4"/>
    <w:rsid w:val="00C96071"/>
    <w:rsid w:val="00C96EF9"/>
    <w:rsid w:val="00CA1CB9"/>
    <w:rsid w:val="00CA2FBC"/>
    <w:rsid w:val="00CA4EFE"/>
    <w:rsid w:val="00CA7789"/>
    <w:rsid w:val="00CB10B0"/>
    <w:rsid w:val="00CB113E"/>
    <w:rsid w:val="00CB28F9"/>
    <w:rsid w:val="00CB3229"/>
    <w:rsid w:val="00CB3ACD"/>
    <w:rsid w:val="00CB6579"/>
    <w:rsid w:val="00CC3F71"/>
    <w:rsid w:val="00CC5ED1"/>
    <w:rsid w:val="00CC708C"/>
    <w:rsid w:val="00CC7400"/>
    <w:rsid w:val="00CC7B1D"/>
    <w:rsid w:val="00CD08F1"/>
    <w:rsid w:val="00CD4FD5"/>
    <w:rsid w:val="00CD51B8"/>
    <w:rsid w:val="00CD61A6"/>
    <w:rsid w:val="00CD6A07"/>
    <w:rsid w:val="00CD72FF"/>
    <w:rsid w:val="00CE11C5"/>
    <w:rsid w:val="00CE283F"/>
    <w:rsid w:val="00CE5058"/>
    <w:rsid w:val="00CE75DB"/>
    <w:rsid w:val="00CF0D2C"/>
    <w:rsid w:val="00CF0F2D"/>
    <w:rsid w:val="00CF26A3"/>
    <w:rsid w:val="00CF38E2"/>
    <w:rsid w:val="00CF3E40"/>
    <w:rsid w:val="00CF4134"/>
    <w:rsid w:val="00CF68A8"/>
    <w:rsid w:val="00CF6C4A"/>
    <w:rsid w:val="00D0306F"/>
    <w:rsid w:val="00D039E9"/>
    <w:rsid w:val="00D04844"/>
    <w:rsid w:val="00D05ED0"/>
    <w:rsid w:val="00D06488"/>
    <w:rsid w:val="00D067C5"/>
    <w:rsid w:val="00D07052"/>
    <w:rsid w:val="00D106FB"/>
    <w:rsid w:val="00D10C83"/>
    <w:rsid w:val="00D126A9"/>
    <w:rsid w:val="00D16160"/>
    <w:rsid w:val="00D1639F"/>
    <w:rsid w:val="00D176ED"/>
    <w:rsid w:val="00D20530"/>
    <w:rsid w:val="00D21CDD"/>
    <w:rsid w:val="00D24919"/>
    <w:rsid w:val="00D271C4"/>
    <w:rsid w:val="00D275AE"/>
    <w:rsid w:val="00D307B7"/>
    <w:rsid w:val="00D310AC"/>
    <w:rsid w:val="00D3163C"/>
    <w:rsid w:val="00D318FA"/>
    <w:rsid w:val="00D319E0"/>
    <w:rsid w:val="00D32035"/>
    <w:rsid w:val="00D3255B"/>
    <w:rsid w:val="00D32B59"/>
    <w:rsid w:val="00D36733"/>
    <w:rsid w:val="00D409D8"/>
    <w:rsid w:val="00D45D2A"/>
    <w:rsid w:val="00D45DC2"/>
    <w:rsid w:val="00D46296"/>
    <w:rsid w:val="00D47D29"/>
    <w:rsid w:val="00D517FD"/>
    <w:rsid w:val="00D523F7"/>
    <w:rsid w:val="00D53C73"/>
    <w:rsid w:val="00D540CF"/>
    <w:rsid w:val="00D556D0"/>
    <w:rsid w:val="00D55E44"/>
    <w:rsid w:val="00D55ED8"/>
    <w:rsid w:val="00D56222"/>
    <w:rsid w:val="00D6142A"/>
    <w:rsid w:val="00D6166C"/>
    <w:rsid w:val="00D61821"/>
    <w:rsid w:val="00D64725"/>
    <w:rsid w:val="00D71654"/>
    <w:rsid w:val="00D7210C"/>
    <w:rsid w:val="00D73A20"/>
    <w:rsid w:val="00D76006"/>
    <w:rsid w:val="00D771D9"/>
    <w:rsid w:val="00D77241"/>
    <w:rsid w:val="00D777FD"/>
    <w:rsid w:val="00D778AB"/>
    <w:rsid w:val="00D856C3"/>
    <w:rsid w:val="00D87F36"/>
    <w:rsid w:val="00D90A17"/>
    <w:rsid w:val="00D91091"/>
    <w:rsid w:val="00D913C4"/>
    <w:rsid w:val="00D918D4"/>
    <w:rsid w:val="00D944D6"/>
    <w:rsid w:val="00D96B8E"/>
    <w:rsid w:val="00D97263"/>
    <w:rsid w:val="00D9787B"/>
    <w:rsid w:val="00DA0711"/>
    <w:rsid w:val="00DA230B"/>
    <w:rsid w:val="00DA4ADA"/>
    <w:rsid w:val="00DA69A3"/>
    <w:rsid w:val="00DA6B0E"/>
    <w:rsid w:val="00DA7A68"/>
    <w:rsid w:val="00DB0812"/>
    <w:rsid w:val="00DB098A"/>
    <w:rsid w:val="00DB1046"/>
    <w:rsid w:val="00DB25CF"/>
    <w:rsid w:val="00DB3985"/>
    <w:rsid w:val="00DB7BC7"/>
    <w:rsid w:val="00DC2B8E"/>
    <w:rsid w:val="00DC4FB3"/>
    <w:rsid w:val="00DC5032"/>
    <w:rsid w:val="00DC6A43"/>
    <w:rsid w:val="00DC71A8"/>
    <w:rsid w:val="00DC77A2"/>
    <w:rsid w:val="00DD0245"/>
    <w:rsid w:val="00DD038E"/>
    <w:rsid w:val="00DD2D6E"/>
    <w:rsid w:val="00DD30A0"/>
    <w:rsid w:val="00DD3430"/>
    <w:rsid w:val="00DD3EDD"/>
    <w:rsid w:val="00DD5017"/>
    <w:rsid w:val="00DD6CFF"/>
    <w:rsid w:val="00DD7806"/>
    <w:rsid w:val="00DE02D1"/>
    <w:rsid w:val="00DE13F2"/>
    <w:rsid w:val="00DE23C0"/>
    <w:rsid w:val="00DE352B"/>
    <w:rsid w:val="00DE3C2F"/>
    <w:rsid w:val="00DE4BC8"/>
    <w:rsid w:val="00DE76CF"/>
    <w:rsid w:val="00DF35DB"/>
    <w:rsid w:val="00DF371A"/>
    <w:rsid w:val="00DF4935"/>
    <w:rsid w:val="00DF5DFE"/>
    <w:rsid w:val="00E03E1D"/>
    <w:rsid w:val="00E061DD"/>
    <w:rsid w:val="00E06710"/>
    <w:rsid w:val="00E10B87"/>
    <w:rsid w:val="00E133EF"/>
    <w:rsid w:val="00E1431B"/>
    <w:rsid w:val="00E14DC0"/>
    <w:rsid w:val="00E155F7"/>
    <w:rsid w:val="00E16465"/>
    <w:rsid w:val="00E17838"/>
    <w:rsid w:val="00E203E6"/>
    <w:rsid w:val="00E210A3"/>
    <w:rsid w:val="00E22BF1"/>
    <w:rsid w:val="00E22C36"/>
    <w:rsid w:val="00E23605"/>
    <w:rsid w:val="00E26DE1"/>
    <w:rsid w:val="00E31B8B"/>
    <w:rsid w:val="00E35462"/>
    <w:rsid w:val="00E35EE5"/>
    <w:rsid w:val="00E374C8"/>
    <w:rsid w:val="00E37F15"/>
    <w:rsid w:val="00E37FCC"/>
    <w:rsid w:val="00E43084"/>
    <w:rsid w:val="00E4457B"/>
    <w:rsid w:val="00E44D1F"/>
    <w:rsid w:val="00E5339F"/>
    <w:rsid w:val="00E540B6"/>
    <w:rsid w:val="00E54211"/>
    <w:rsid w:val="00E54777"/>
    <w:rsid w:val="00E55158"/>
    <w:rsid w:val="00E567FC"/>
    <w:rsid w:val="00E5747B"/>
    <w:rsid w:val="00E60DAB"/>
    <w:rsid w:val="00E6186A"/>
    <w:rsid w:val="00E61BF0"/>
    <w:rsid w:val="00E66AFA"/>
    <w:rsid w:val="00E702E3"/>
    <w:rsid w:val="00E7195A"/>
    <w:rsid w:val="00E748B7"/>
    <w:rsid w:val="00E76916"/>
    <w:rsid w:val="00E77455"/>
    <w:rsid w:val="00E7759D"/>
    <w:rsid w:val="00E77EAB"/>
    <w:rsid w:val="00E8190F"/>
    <w:rsid w:val="00E8254A"/>
    <w:rsid w:val="00E83DE5"/>
    <w:rsid w:val="00E86B80"/>
    <w:rsid w:val="00E91358"/>
    <w:rsid w:val="00E932CA"/>
    <w:rsid w:val="00E9768A"/>
    <w:rsid w:val="00E97A5B"/>
    <w:rsid w:val="00EA0B65"/>
    <w:rsid w:val="00EA1C48"/>
    <w:rsid w:val="00EA2279"/>
    <w:rsid w:val="00EA5A7B"/>
    <w:rsid w:val="00EA6721"/>
    <w:rsid w:val="00EB052D"/>
    <w:rsid w:val="00EB0C9D"/>
    <w:rsid w:val="00EB2615"/>
    <w:rsid w:val="00EB2679"/>
    <w:rsid w:val="00EB3911"/>
    <w:rsid w:val="00EB487B"/>
    <w:rsid w:val="00EB4C1C"/>
    <w:rsid w:val="00EB7C80"/>
    <w:rsid w:val="00EC0BB1"/>
    <w:rsid w:val="00EC294F"/>
    <w:rsid w:val="00EC2EA5"/>
    <w:rsid w:val="00EC46E3"/>
    <w:rsid w:val="00EC4D53"/>
    <w:rsid w:val="00EC51E3"/>
    <w:rsid w:val="00EC60A3"/>
    <w:rsid w:val="00EC6BBA"/>
    <w:rsid w:val="00EC7740"/>
    <w:rsid w:val="00EC79D5"/>
    <w:rsid w:val="00EC7B71"/>
    <w:rsid w:val="00ED04DA"/>
    <w:rsid w:val="00ED1479"/>
    <w:rsid w:val="00ED1CA4"/>
    <w:rsid w:val="00ED498C"/>
    <w:rsid w:val="00ED644E"/>
    <w:rsid w:val="00EE0F87"/>
    <w:rsid w:val="00EE4570"/>
    <w:rsid w:val="00EE49AC"/>
    <w:rsid w:val="00EE5BD1"/>
    <w:rsid w:val="00EE64BF"/>
    <w:rsid w:val="00EE6F73"/>
    <w:rsid w:val="00EF014C"/>
    <w:rsid w:val="00EF533B"/>
    <w:rsid w:val="00EF5539"/>
    <w:rsid w:val="00F001FB"/>
    <w:rsid w:val="00F0209C"/>
    <w:rsid w:val="00F0450A"/>
    <w:rsid w:val="00F05957"/>
    <w:rsid w:val="00F063CD"/>
    <w:rsid w:val="00F07F4B"/>
    <w:rsid w:val="00F101E1"/>
    <w:rsid w:val="00F1066C"/>
    <w:rsid w:val="00F10870"/>
    <w:rsid w:val="00F1138A"/>
    <w:rsid w:val="00F12972"/>
    <w:rsid w:val="00F12D2F"/>
    <w:rsid w:val="00F136C7"/>
    <w:rsid w:val="00F13C87"/>
    <w:rsid w:val="00F14038"/>
    <w:rsid w:val="00F15181"/>
    <w:rsid w:val="00F17CAD"/>
    <w:rsid w:val="00F23A40"/>
    <w:rsid w:val="00F26153"/>
    <w:rsid w:val="00F27FF8"/>
    <w:rsid w:val="00F320D5"/>
    <w:rsid w:val="00F33892"/>
    <w:rsid w:val="00F3515C"/>
    <w:rsid w:val="00F36AB2"/>
    <w:rsid w:val="00F37B0C"/>
    <w:rsid w:val="00F404CC"/>
    <w:rsid w:val="00F423F2"/>
    <w:rsid w:val="00F4479B"/>
    <w:rsid w:val="00F45560"/>
    <w:rsid w:val="00F4684E"/>
    <w:rsid w:val="00F503D3"/>
    <w:rsid w:val="00F53667"/>
    <w:rsid w:val="00F539E5"/>
    <w:rsid w:val="00F55523"/>
    <w:rsid w:val="00F562D1"/>
    <w:rsid w:val="00F563DD"/>
    <w:rsid w:val="00F603FD"/>
    <w:rsid w:val="00F65E4D"/>
    <w:rsid w:val="00F66000"/>
    <w:rsid w:val="00F671EC"/>
    <w:rsid w:val="00F67A4D"/>
    <w:rsid w:val="00F711CB"/>
    <w:rsid w:val="00F71CD1"/>
    <w:rsid w:val="00F74FA9"/>
    <w:rsid w:val="00F75267"/>
    <w:rsid w:val="00F76021"/>
    <w:rsid w:val="00F76BBB"/>
    <w:rsid w:val="00F809B9"/>
    <w:rsid w:val="00F81979"/>
    <w:rsid w:val="00F8329F"/>
    <w:rsid w:val="00F846B1"/>
    <w:rsid w:val="00F857B7"/>
    <w:rsid w:val="00F85C57"/>
    <w:rsid w:val="00F865F3"/>
    <w:rsid w:val="00F86E3A"/>
    <w:rsid w:val="00F873FB"/>
    <w:rsid w:val="00F90231"/>
    <w:rsid w:val="00F92468"/>
    <w:rsid w:val="00F939FD"/>
    <w:rsid w:val="00F93B01"/>
    <w:rsid w:val="00F93B33"/>
    <w:rsid w:val="00F94B8D"/>
    <w:rsid w:val="00F95015"/>
    <w:rsid w:val="00F96A82"/>
    <w:rsid w:val="00FA0401"/>
    <w:rsid w:val="00FA13C4"/>
    <w:rsid w:val="00FA2B62"/>
    <w:rsid w:val="00FA2F28"/>
    <w:rsid w:val="00FA3BE6"/>
    <w:rsid w:val="00FA60A1"/>
    <w:rsid w:val="00FB00E5"/>
    <w:rsid w:val="00FB096A"/>
    <w:rsid w:val="00FB2AF6"/>
    <w:rsid w:val="00FB3909"/>
    <w:rsid w:val="00FB5281"/>
    <w:rsid w:val="00FB57E3"/>
    <w:rsid w:val="00FB59D1"/>
    <w:rsid w:val="00FB6373"/>
    <w:rsid w:val="00FC11A0"/>
    <w:rsid w:val="00FC217A"/>
    <w:rsid w:val="00FC3FEF"/>
    <w:rsid w:val="00FC7475"/>
    <w:rsid w:val="00FC7A4A"/>
    <w:rsid w:val="00FD14E1"/>
    <w:rsid w:val="00FD385B"/>
    <w:rsid w:val="00FD4A4D"/>
    <w:rsid w:val="00FD7EE5"/>
    <w:rsid w:val="00FE25F3"/>
    <w:rsid w:val="00FE369E"/>
    <w:rsid w:val="00FE3AC2"/>
    <w:rsid w:val="00FE43D4"/>
    <w:rsid w:val="00FE4E14"/>
    <w:rsid w:val="00FE66E7"/>
    <w:rsid w:val="00FE7D96"/>
    <w:rsid w:val="00FF09AE"/>
    <w:rsid w:val="00FF0C82"/>
    <w:rsid w:val="00FF2B57"/>
    <w:rsid w:val="00FF3A20"/>
    <w:rsid w:val="00FF44F3"/>
    <w:rsid w:val="00FF4692"/>
    <w:rsid w:val="00FF703B"/>
    <w:rsid w:val="00FF7880"/>
    <w:rsid w:val="00FF7D7E"/>
    <w:rsid w:val="01061150"/>
    <w:rsid w:val="016F23EC"/>
    <w:rsid w:val="0213141D"/>
    <w:rsid w:val="024F075F"/>
    <w:rsid w:val="02510341"/>
    <w:rsid w:val="02BE582C"/>
    <w:rsid w:val="02F70624"/>
    <w:rsid w:val="043035C2"/>
    <w:rsid w:val="04822112"/>
    <w:rsid w:val="049D0A28"/>
    <w:rsid w:val="04FF212C"/>
    <w:rsid w:val="05184F42"/>
    <w:rsid w:val="05266C09"/>
    <w:rsid w:val="052C743E"/>
    <w:rsid w:val="05465FAD"/>
    <w:rsid w:val="0574246E"/>
    <w:rsid w:val="05746676"/>
    <w:rsid w:val="06087F21"/>
    <w:rsid w:val="06AF08DD"/>
    <w:rsid w:val="06BC02D5"/>
    <w:rsid w:val="072365A6"/>
    <w:rsid w:val="07E5385B"/>
    <w:rsid w:val="08917145"/>
    <w:rsid w:val="08F63846"/>
    <w:rsid w:val="095B7CA5"/>
    <w:rsid w:val="098837EA"/>
    <w:rsid w:val="098921EC"/>
    <w:rsid w:val="09FE3FE8"/>
    <w:rsid w:val="0AF52007"/>
    <w:rsid w:val="0B9D264D"/>
    <w:rsid w:val="0BD5043E"/>
    <w:rsid w:val="0CB55575"/>
    <w:rsid w:val="0DFB27A8"/>
    <w:rsid w:val="0E323572"/>
    <w:rsid w:val="0E395A20"/>
    <w:rsid w:val="0E64476E"/>
    <w:rsid w:val="0EA93C44"/>
    <w:rsid w:val="0F1904B5"/>
    <w:rsid w:val="0F9677E4"/>
    <w:rsid w:val="0FCD7488"/>
    <w:rsid w:val="10335D33"/>
    <w:rsid w:val="106C7949"/>
    <w:rsid w:val="10B4619F"/>
    <w:rsid w:val="11BF5B3A"/>
    <w:rsid w:val="14022830"/>
    <w:rsid w:val="14553B17"/>
    <w:rsid w:val="154A2F50"/>
    <w:rsid w:val="15B75E5D"/>
    <w:rsid w:val="16AD5E70"/>
    <w:rsid w:val="173F3C7D"/>
    <w:rsid w:val="179E05C0"/>
    <w:rsid w:val="17F04234"/>
    <w:rsid w:val="185D11EC"/>
    <w:rsid w:val="189E36AA"/>
    <w:rsid w:val="197D63F1"/>
    <w:rsid w:val="1A0C1624"/>
    <w:rsid w:val="1A0C2EC9"/>
    <w:rsid w:val="1B0911B7"/>
    <w:rsid w:val="1B5C39DD"/>
    <w:rsid w:val="1BDB0DA5"/>
    <w:rsid w:val="1C525752"/>
    <w:rsid w:val="1C914C64"/>
    <w:rsid w:val="1CAE0268"/>
    <w:rsid w:val="1D0E5902"/>
    <w:rsid w:val="1D374A10"/>
    <w:rsid w:val="1D491844"/>
    <w:rsid w:val="1D954F84"/>
    <w:rsid w:val="1DC046F7"/>
    <w:rsid w:val="1E557B63"/>
    <w:rsid w:val="1F370AC6"/>
    <w:rsid w:val="1F6F73AB"/>
    <w:rsid w:val="20BA367F"/>
    <w:rsid w:val="2126454C"/>
    <w:rsid w:val="217C55E9"/>
    <w:rsid w:val="217E4E84"/>
    <w:rsid w:val="21A76714"/>
    <w:rsid w:val="21B433D5"/>
    <w:rsid w:val="21D67284"/>
    <w:rsid w:val="21F91CDA"/>
    <w:rsid w:val="22392BF3"/>
    <w:rsid w:val="225A7D21"/>
    <w:rsid w:val="232A275F"/>
    <w:rsid w:val="239B31C3"/>
    <w:rsid w:val="23C644EB"/>
    <w:rsid w:val="23C77282"/>
    <w:rsid w:val="23C91E2B"/>
    <w:rsid w:val="23E33611"/>
    <w:rsid w:val="24D012F1"/>
    <w:rsid w:val="24FD3B3B"/>
    <w:rsid w:val="250278B0"/>
    <w:rsid w:val="26E66850"/>
    <w:rsid w:val="26F5510D"/>
    <w:rsid w:val="278E3170"/>
    <w:rsid w:val="283F446A"/>
    <w:rsid w:val="289B7E5E"/>
    <w:rsid w:val="28CB4C64"/>
    <w:rsid w:val="291323CC"/>
    <w:rsid w:val="293A0C38"/>
    <w:rsid w:val="29453736"/>
    <w:rsid w:val="29A6797A"/>
    <w:rsid w:val="2A250B1B"/>
    <w:rsid w:val="2A8F3B0B"/>
    <w:rsid w:val="2ABE034B"/>
    <w:rsid w:val="2BA50A88"/>
    <w:rsid w:val="2C397BB6"/>
    <w:rsid w:val="2C9B0950"/>
    <w:rsid w:val="2CC33A34"/>
    <w:rsid w:val="2D485B6F"/>
    <w:rsid w:val="2DA4272B"/>
    <w:rsid w:val="2DE243D7"/>
    <w:rsid w:val="2E0A2E34"/>
    <w:rsid w:val="2E1A7B9C"/>
    <w:rsid w:val="2E57677B"/>
    <w:rsid w:val="2F0A0784"/>
    <w:rsid w:val="2FF3270A"/>
    <w:rsid w:val="30F3725E"/>
    <w:rsid w:val="31590B36"/>
    <w:rsid w:val="31835B3C"/>
    <w:rsid w:val="319E48F7"/>
    <w:rsid w:val="324D5422"/>
    <w:rsid w:val="326504A7"/>
    <w:rsid w:val="32A306AF"/>
    <w:rsid w:val="32EF2D88"/>
    <w:rsid w:val="33022C64"/>
    <w:rsid w:val="34316F71"/>
    <w:rsid w:val="348C4824"/>
    <w:rsid w:val="35770B48"/>
    <w:rsid w:val="35966CBB"/>
    <w:rsid w:val="35A45811"/>
    <w:rsid w:val="36945277"/>
    <w:rsid w:val="36FB2AED"/>
    <w:rsid w:val="3717520B"/>
    <w:rsid w:val="37644E0F"/>
    <w:rsid w:val="37A8593E"/>
    <w:rsid w:val="38913EE1"/>
    <w:rsid w:val="3899316D"/>
    <w:rsid w:val="38CC1774"/>
    <w:rsid w:val="3905700A"/>
    <w:rsid w:val="39E92488"/>
    <w:rsid w:val="3A206359"/>
    <w:rsid w:val="3A3400FC"/>
    <w:rsid w:val="3B68144C"/>
    <w:rsid w:val="3B702E61"/>
    <w:rsid w:val="3C4776D1"/>
    <w:rsid w:val="3C4E5270"/>
    <w:rsid w:val="3C9140DE"/>
    <w:rsid w:val="3CD63197"/>
    <w:rsid w:val="3D066DFA"/>
    <w:rsid w:val="3D653BB6"/>
    <w:rsid w:val="3DD554C9"/>
    <w:rsid w:val="3DE67413"/>
    <w:rsid w:val="3E2E5A79"/>
    <w:rsid w:val="3E5D3B1B"/>
    <w:rsid w:val="3EFA09D4"/>
    <w:rsid w:val="3FDC22E0"/>
    <w:rsid w:val="3FFA556E"/>
    <w:rsid w:val="403501D5"/>
    <w:rsid w:val="403B1563"/>
    <w:rsid w:val="40795291"/>
    <w:rsid w:val="40EB11DB"/>
    <w:rsid w:val="40FF4F6F"/>
    <w:rsid w:val="41540B2E"/>
    <w:rsid w:val="418F63F5"/>
    <w:rsid w:val="419D6398"/>
    <w:rsid w:val="41CF231C"/>
    <w:rsid w:val="41EC6FB9"/>
    <w:rsid w:val="42703746"/>
    <w:rsid w:val="4315253F"/>
    <w:rsid w:val="43291A4B"/>
    <w:rsid w:val="441E41A7"/>
    <w:rsid w:val="4440032D"/>
    <w:rsid w:val="44AE0A2A"/>
    <w:rsid w:val="458915AC"/>
    <w:rsid w:val="4611362E"/>
    <w:rsid w:val="468F3EFB"/>
    <w:rsid w:val="46C17890"/>
    <w:rsid w:val="46EA12B4"/>
    <w:rsid w:val="47C00A9D"/>
    <w:rsid w:val="481C6E6F"/>
    <w:rsid w:val="48381CF6"/>
    <w:rsid w:val="48873598"/>
    <w:rsid w:val="496438D9"/>
    <w:rsid w:val="49B3654B"/>
    <w:rsid w:val="4A807EA7"/>
    <w:rsid w:val="4AC13118"/>
    <w:rsid w:val="4AC34955"/>
    <w:rsid w:val="4B1C2C9D"/>
    <w:rsid w:val="4B1D4687"/>
    <w:rsid w:val="4B7B1C35"/>
    <w:rsid w:val="4BCE2CB7"/>
    <w:rsid w:val="4BDA3A87"/>
    <w:rsid w:val="4BEC7CE7"/>
    <w:rsid w:val="4C985517"/>
    <w:rsid w:val="4CAE2D91"/>
    <w:rsid w:val="4CB90005"/>
    <w:rsid w:val="4CD3196A"/>
    <w:rsid w:val="4D2717ED"/>
    <w:rsid w:val="4D8B58D8"/>
    <w:rsid w:val="4EE77329"/>
    <w:rsid w:val="4EFD0BE9"/>
    <w:rsid w:val="4F606526"/>
    <w:rsid w:val="4FD839C1"/>
    <w:rsid w:val="50147780"/>
    <w:rsid w:val="502956B0"/>
    <w:rsid w:val="511D3EE2"/>
    <w:rsid w:val="51EB4B97"/>
    <w:rsid w:val="528632D5"/>
    <w:rsid w:val="52DA2EF0"/>
    <w:rsid w:val="53EF1B82"/>
    <w:rsid w:val="54302D35"/>
    <w:rsid w:val="55B17849"/>
    <w:rsid w:val="55E93AE3"/>
    <w:rsid w:val="55F34962"/>
    <w:rsid w:val="57977624"/>
    <w:rsid w:val="57A63917"/>
    <w:rsid w:val="598279BB"/>
    <w:rsid w:val="59F250D1"/>
    <w:rsid w:val="5A024EDF"/>
    <w:rsid w:val="5A5D05FC"/>
    <w:rsid w:val="5B887691"/>
    <w:rsid w:val="5CF21F3E"/>
    <w:rsid w:val="5D784519"/>
    <w:rsid w:val="5D8110C1"/>
    <w:rsid w:val="5F385194"/>
    <w:rsid w:val="6011272D"/>
    <w:rsid w:val="60FD52BE"/>
    <w:rsid w:val="611F44D6"/>
    <w:rsid w:val="61733126"/>
    <w:rsid w:val="61C251E9"/>
    <w:rsid w:val="62220E18"/>
    <w:rsid w:val="624A3B5C"/>
    <w:rsid w:val="63CA3A15"/>
    <w:rsid w:val="641B0019"/>
    <w:rsid w:val="64B26A21"/>
    <w:rsid w:val="64BE438D"/>
    <w:rsid w:val="65300C4D"/>
    <w:rsid w:val="65566374"/>
    <w:rsid w:val="655733D7"/>
    <w:rsid w:val="65896749"/>
    <w:rsid w:val="65A96DEB"/>
    <w:rsid w:val="65BE70B1"/>
    <w:rsid w:val="65C322CC"/>
    <w:rsid w:val="65D8191B"/>
    <w:rsid w:val="65FE122C"/>
    <w:rsid w:val="660B715E"/>
    <w:rsid w:val="668A2779"/>
    <w:rsid w:val="66EE7B2E"/>
    <w:rsid w:val="67293BA9"/>
    <w:rsid w:val="676E7A32"/>
    <w:rsid w:val="677C15AE"/>
    <w:rsid w:val="67AE693B"/>
    <w:rsid w:val="67F72090"/>
    <w:rsid w:val="6803450B"/>
    <w:rsid w:val="682660BD"/>
    <w:rsid w:val="6832131A"/>
    <w:rsid w:val="69011987"/>
    <w:rsid w:val="6A541AE2"/>
    <w:rsid w:val="6A5C61DA"/>
    <w:rsid w:val="6A815A44"/>
    <w:rsid w:val="6B307E2C"/>
    <w:rsid w:val="6BB12556"/>
    <w:rsid w:val="6BDB746F"/>
    <w:rsid w:val="6BF5339E"/>
    <w:rsid w:val="6CB542C8"/>
    <w:rsid w:val="6D1359B1"/>
    <w:rsid w:val="6E7B0A19"/>
    <w:rsid w:val="6F177B94"/>
    <w:rsid w:val="700810A6"/>
    <w:rsid w:val="70313C65"/>
    <w:rsid w:val="709A422E"/>
    <w:rsid w:val="70CC398E"/>
    <w:rsid w:val="70FE1F61"/>
    <w:rsid w:val="710D1AFA"/>
    <w:rsid w:val="7128150C"/>
    <w:rsid w:val="71B76635"/>
    <w:rsid w:val="71BA0B37"/>
    <w:rsid w:val="71C11118"/>
    <w:rsid w:val="71E116BB"/>
    <w:rsid w:val="71F33FFF"/>
    <w:rsid w:val="727B1F4F"/>
    <w:rsid w:val="738E1060"/>
    <w:rsid w:val="74312486"/>
    <w:rsid w:val="757545F4"/>
    <w:rsid w:val="75A211D6"/>
    <w:rsid w:val="76CB4785"/>
    <w:rsid w:val="77874B94"/>
    <w:rsid w:val="77B711C2"/>
    <w:rsid w:val="77B7557E"/>
    <w:rsid w:val="78C43E58"/>
    <w:rsid w:val="78E977D3"/>
    <w:rsid w:val="78F21145"/>
    <w:rsid w:val="79014C3A"/>
    <w:rsid w:val="795E2CD5"/>
    <w:rsid w:val="7AE364A4"/>
    <w:rsid w:val="7B4E0760"/>
    <w:rsid w:val="7B821819"/>
    <w:rsid w:val="7BB96FE3"/>
    <w:rsid w:val="7BDB1E8A"/>
    <w:rsid w:val="7C174894"/>
    <w:rsid w:val="7CE62DDA"/>
    <w:rsid w:val="7D2C4132"/>
    <w:rsid w:val="7D65105C"/>
    <w:rsid w:val="7DA71A0B"/>
    <w:rsid w:val="7DAA5057"/>
    <w:rsid w:val="7E612BCD"/>
    <w:rsid w:val="7E92013C"/>
    <w:rsid w:val="7E9C4C78"/>
    <w:rsid w:val="7EFB3DBC"/>
    <w:rsid w:val="7F1135E0"/>
    <w:rsid w:val="7FE20A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124"/>
        <o:r id="V:Rule2" type="connector" idref="#_x0000_s2125"/>
        <o:r id="V:Rule3" type="connector" idref="#_x0000_s2126"/>
        <o:r id="V:Rule4" type="connector" idref="#_x0000_s2127"/>
        <o:r id="V:Rule5" type="connector" idref="#_x0000_s2130"/>
        <o:r id="V:Rule6" type="connector" idref="#_x0000_s2131"/>
        <o:r id="V:Rule7" type="connector" idref="#_x0000_s2136"/>
        <o:r id="V:Rule8" type="connector" idref="#_x0000_s2141"/>
        <o:r id="V:Rule9" type="connector" idref="#_x0000_s2147"/>
        <o:r id="V:Rule10" type="connector" idref="#_x0000_s2148"/>
        <o:r id="V:Rule11" type="connector" idref="#_x0000_s2149"/>
        <o:r id="V:Rule12" type="connector" idref="#_x0000_s215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0"/>
    <w:pPr>
      <w:keepNext/>
      <w:pageBreakBefore/>
      <w:tabs>
        <w:tab w:val="center" w:pos="4155"/>
        <w:tab w:val="left" w:pos="5296"/>
      </w:tabs>
      <w:spacing w:before="160" w:after="160"/>
      <w:ind w:left="441"/>
      <w:jc w:val="center"/>
      <w:outlineLvl w:val="0"/>
    </w:pPr>
    <w:rPr>
      <w:rFonts w:ascii="宋体" w:hAnsi="宋体"/>
      <w:b/>
      <w:snapToGrid w:val="0"/>
      <w:kern w:val="0"/>
      <w:sz w:val="32"/>
      <w:szCs w:val="32"/>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2">
    <w:name w:val="macro"/>
    <w:autoRedefine/>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toc 7"/>
    <w:basedOn w:val="1"/>
    <w:next w:val="1"/>
    <w:autoRedefine/>
    <w:qFormat/>
    <w:uiPriority w:val="39"/>
    <w:pPr>
      <w:ind w:left="1260"/>
      <w:jc w:val="left"/>
    </w:pPr>
    <w:rPr>
      <w:sz w:val="18"/>
      <w:szCs w:val="18"/>
    </w:rPr>
  </w:style>
  <w:style w:type="paragraph" w:styleId="8">
    <w:name w:val="Document Map"/>
    <w:basedOn w:val="1"/>
    <w:autoRedefine/>
    <w:semiHidden/>
    <w:qFormat/>
    <w:uiPriority w:val="0"/>
    <w:pPr>
      <w:shd w:val="clear" w:color="auto" w:fill="000080"/>
    </w:pPr>
  </w:style>
  <w:style w:type="paragraph" w:styleId="9">
    <w:name w:val="annotation text"/>
    <w:basedOn w:val="1"/>
    <w:autoRedefine/>
    <w:semiHidden/>
    <w:qFormat/>
    <w:uiPriority w:val="0"/>
    <w:pPr>
      <w:jc w:val="left"/>
    </w:pPr>
  </w:style>
  <w:style w:type="paragraph" w:styleId="10">
    <w:name w:val="Body Text"/>
    <w:basedOn w:val="1"/>
    <w:autoRedefine/>
    <w:qFormat/>
    <w:uiPriority w:val="0"/>
    <w:pPr>
      <w:spacing w:after="120"/>
    </w:pPr>
  </w:style>
  <w:style w:type="paragraph" w:styleId="11">
    <w:name w:val="Body Text Indent"/>
    <w:basedOn w:val="1"/>
    <w:link w:val="55"/>
    <w:autoRedefine/>
    <w:qFormat/>
    <w:uiPriority w:val="0"/>
    <w:pPr>
      <w:adjustRightInd w:val="0"/>
      <w:snapToGrid w:val="0"/>
      <w:spacing w:line="360" w:lineRule="auto"/>
      <w:ind w:firstLine="520" w:firstLineChars="200"/>
    </w:pPr>
    <w:rPr>
      <w:spacing w:val="10"/>
      <w:sz w:val="24"/>
      <w:szCs w:val="20"/>
    </w:rPr>
  </w:style>
  <w:style w:type="paragraph" w:styleId="12">
    <w:name w:val="toc 5"/>
    <w:basedOn w:val="1"/>
    <w:next w:val="1"/>
    <w:autoRedefine/>
    <w:qFormat/>
    <w:uiPriority w:val="39"/>
    <w:pPr>
      <w:ind w:left="840"/>
      <w:jc w:val="left"/>
    </w:pPr>
    <w:rPr>
      <w:sz w:val="18"/>
      <w:szCs w:val="18"/>
    </w:rPr>
  </w:style>
  <w:style w:type="paragraph" w:styleId="13">
    <w:name w:val="toc 3"/>
    <w:basedOn w:val="1"/>
    <w:next w:val="1"/>
    <w:autoRedefine/>
    <w:qFormat/>
    <w:uiPriority w:val="39"/>
    <w:pPr>
      <w:ind w:left="420"/>
      <w:jc w:val="left"/>
    </w:pPr>
    <w:rPr>
      <w:i/>
      <w:iCs/>
      <w:sz w:val="20"/>
      <w:szCs w:val="20"/>
    </w:rPr>
  </w:style>
  <w:style w:type="paragraph" w:styleId="14">
    <w:name w:val="Plain Text"/>
    <w:basedOn w:val="1"/>
    <w:autoRedefine/>
    <w:qFormat/>
    <w:uiPriority w:val="0"/>
    <w:rPr>
      <w:rFonts w:ascii="宋体" w:hAnsi="Courier New" w:cs="Courier New"/>
      <w:szCs w:val="21"/>
    </w:rPr>
  </w:style>
  <w:style w:type="paragraph" w:styleId="15">
    <w:name w:val="toc 8"/>
    <w:basedOn w:val="1"/>
    <w:next w:val="1"/>
    <w:autoRedefine/>
    <w:qFormat/>
    <w:uiPriority w:val="39"/>
    <w:pPr>
      <w:ind w:left="1470"/>
      <w:jc w:val="left"/>
    </w:pPr>
    <w:rPr>
      <w:sz w:val="18"/>
      <w:szCs w:val="18"/>
    </w:rPr>
  </w:style>
  <w:style w:type="paragraph" w:styleId="16">
    <w:name w:val="Date"/>
    <w:basedOn w:val="1"/>
    <w:next w:val="1"/>
    <w:autoRedefine/>
    <w:qFormat/>
    <w:uiPriority w:val="0"/>
    <w:rPr>
      <w:rFonts w:ascii="宋体"/>
      <w:sz w:val="24"/>
      <w:szCs w:val="20"/>
    </w:rPr>
  </w:style>
  <w:style w:type="paragraph" w:styleId="17">
    <w:name w:val="Body Text Indent 2"/>
    <w:basedOn w:val="1"/>
    <w:link w:val="43"/>
    <w:autoRedefine/>
    <w:qFormat/>
    <w:uiPriority w:val="0"/>
    <w:pPr>
      <w:spacing w:after="120" w:line="480" w:lineRule="auto"/>
      <w:ind w:left="420" w:leftChars="200"/>
    </w:pPr>
  </w:style>
  <w:style w:type="paragraph" w:styleId="18">
    <w:name w:val="Balloon Text"/>
    <w:basedOn w:val="1"/>
    <w:autoRedefine/>
    <w:semiHidden/>
    <w:qFormat/>
    <w:uiPriority w:val="0"/>
    <w:rPr>
      <w:sz w:val="18"/>
      <w:szCs w:val="18"/>
    </w:rPr>
  </w:style>
  <w:style w:type="paragraph" w:styleId="19">
    <w:name w:val="footer"/>
    <w:basedOn w:val="1"/>
    <w:link w:val="68"/>
    <w:autoRedefine/>
    <w:qFormat/>
    <w:uiPriority w:val="99"/>
    <w:pPr>
      <w:tabs>
        <w:tab w:val="center" w:pos="4153"/>
        <w:tab w:val="right" w:pos="8306"/>
      </w:tabs>
      <w:snapToGrid w:val="0"/>
      <w:jc w:val="left"/>
    </w:pPr>
    <w:rPr>
      <w:sz w:val="18"/>
      <w:szCs w:val="18"/>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dot" w:pos="8296"/>
      </w:tabs>
      <w:spacing w:before="120" w:after="120" w:line="500" w:lineRule="exact"/>
      <w:jc w:val="center"/>
    </w:pPr>
    <w:rPr>
      <w:b/>
      <w:bCs/>
      <w:caps/>
      <w:sz w:val="30"/>
      <w:szCs w:val="30"/>
    </w:rPr>
  </w:style>
  <w:style w:type="paragraph" w:styleId="22">
    <w:name w:val="toc 4"/>
    <w:basedOn w:val="1"/>
    <w:next w:val="1"/>
    <w:autoRedefine/>
    <w:qFormat/>
    <w:uiPriority w:val="39"/>
    <w:pPr>
      <w:ind w:left="630"/>
      <w:jc w:val="left"/>
    </w:pPr>
    <w:rPr>
      <w:sz w:val="18"/>
      <w:szCs w:val="18"/>
    </w:rPr>
  </w:style>
  <w:style w:type="paragraph" w:styleId="23">
    <w:name w:val="toc 6"/>
    <w:basedOn w:val="1"/>
    <w:next w:val="1"/>
    <w:autoRedefine/>
    <w:qFormat/>
    <w:uiPriority w:val="39"/>
    <w:pPr>
      <w:ind w:left="1050"/>
      <w:jc w:val="left"/>
    </w:pPr>
    <w:rPr>
      <w:sz w:val="18"/>
      <w:szCs w:val="18"/>
    </w:rPr>
  </w:style>
  <w:style w:type="paragraph" w:styleId="24">
    <w:name w:val="Body Text Indent 3"/>
    <w:basedOn w:val="1"/>
    <w:autoRedefine/>
    <w:qFormat/>
    <w:uiPriority w:val="0"/>
    <w:pPr>
      <w:spacing w:after="120"/>
      <w:ind w:left="420" w:leftChars="200"/>
    </w:pPr>
    <w:rPr>
      <w:sz w:val="16"/>
      <w:szCs w:val="16"/>
    </w:rPr>
  </w:style>
  <w:style w:type="paragraph" w:styleId="25">
    <w:name w:val="toc 2"/>
    <w:basedOn w:val="1"/>
    <w:next w:val="1"/>
    <w:autoRedefine/>
    <w:qFormat/>
    <w:uiPriority w:val="39"/>
    <w:pPr>
      <w:ind w:left="210"/>
      <w:jc w:val="left"/>
    </w:pPr>
    <w:rPr>
      <w:smallCaps/>
      <w:sz w:val="20"/>
      <w:szCs w:val="20"/>
    </w:rPr>
  </w:style>
  <w:style w:type="paragraph" w:styleId="26">
    <w:name w:val="toc 9"/>
    <w:basedOn w:val="1"/>
    <w:next w:val="1"/>
    <w:autoRedefine/>
    <w:qFormat/>
    <w:uiPriority w:val="39"/>
    <w:pPr>
      <w:ind w:left="1680"/>
      <w:jc w:val="left"/>
    </w:pPr>
    <w:rPr>
      <w:sz w:val="18"/>
      <w:szCs w:val="18"/>
    </w:rPr>
  </w:style>
  <w:style w:type="paragraph" w:styleId="27">
    <w:name w:val="Body Text 2"/>
    <w:basedOn w:val="1"/>
    <w:autoRedefine/>
    <w:qFormat/>
    <w:uiPriority w:val="0"/>
    <w:pPr>
      <w:spacing w:after="120" w:line="480" w:lineRule="auto"/>
    </w:p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style>
  <w:style w:type="paragraph" w:styleId="31">
    <w:name w:val="annotation subject"/>
    <w:basedOn w:val="9"/>
    <w:next w:val="9"/>
    <w:autoRedefine/>
    <w:semiHidden/>
    <w:qFormat/>
    <w:uiPriority w:val="0"/>
    <w:rPr>
      <w:b/>
      <w:bCs/>
    </w:rPr>
  </w:style>
  <w:style w:type="paragraph" w:styleId="32">
    <w:name w:val="Body Text First Indent"/>
    <w:basedOn w:val="10"/>
    <w:link w:val="44"/>
    <w:autoRedefine/>
    <w:qFormat/>
    <w:uiPriority w:val="0"/>
    <w:pPr>
      <w:ind w:firstLine="420" w:firstLineChars="100"/>
    </w:p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Table Theme"/>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rPr>
  </w:style>
  <w:style w:type="character" w:styleId="38">
    <w:name w:val="page number"/>
    <w:autoRedefine/>
    <w:qFormat/>
    <w:uiPriority w:val="0"/>
  </w:style>
  <w:style w:type="character" w:styleId="39">
    <w:name w:val="Emphasis"/>
    <w:autoRedefine/>
    <w:qFormat/>
    <w:uiPriority w:val="20"/>
    <w:rPr>
      <w:i/>
      <w:iCs/>
    </w:rPr>
  </w:style>
  <w:style w:type="character" w:styleId="40">
    <w:name w:val="Hyperlink"/>
    <w:autoRedefine/>
    <w:qFormat/>
    <w:uiPriority w:val="99"/>
    <w:rPr>
      <w:color w:val="0000FF"/>
      <w:u w:val="single"/>
    </w:rPr>
  </w:style>
  <w:style w:type="character" w:styleId="41">
    <w:name w:val="annotation reference"/>
    <w:autoRedefine/>
    <w:semiHidden/>
    <w:qFormat/>
    <w:uiPriority w:val="0"/>
    <w:rPr>
      <w:sz w:val="21"/>
      <w:szCs w:val="21"/>
    </w:rPr>
  </w:style>
  <w:style w:type="character" w:customStyle="1" w:styleId="42">
    <w:name w:val="标题 1 Char"/>
    <w:link w:val="3"/>
    <w:autoRedefine/>
    <w:qFormat/>
    <w:uiPriority w:val="0"/>
    <w:rPr>
      <w:rFonts w:ascii="宋体" w:hAnsi="宋体" w:eastAsia="宋体"/>
      <w:b/>
      <w:snapToGrid w:val="0"/>
      <w:sz w:val="32"/>
      <w:szCs w:val="32"/>
      <w:lang w:val="en-US" w:eastAsia="zh-CN" w:bidi="ar-SA"/>
    </w:rPr>
  </w:style>
  <w:style w:type="character" w:customStyle="1" w:styleId="43">
    <w:name w:val="正文文本缩进 2 Char"/>
    <w:link w:val="17"/>
    <w:autoRedefine/>
    <w:qFormat/>
    <w:uiPriority w:val="0"/>
    <w:rPr>
      <w:kern w:val="2"/>
      <w:sz w:val="21"/>
      <w:szCs w:val="24"/>
    </w:rPr>
  </w:style>
  <w:style w:type="character" w:customStyle="1" w:styleId="44">
    <w:name w:val="正文首行缩进 Char"/>
    <w:link w:val="32"/>
    <w:qFormat/>
    <w:uiPriority w:val="0"/>
    <w:rPr>
      <w:rFonts w:eastAsia="宋体"/>
      <w:kern w:val="2"/>
      <w:sz w:val="21"/>
      <w:szCs w:val="24"/>
      <w:lang w:val="en-US" w:eastAsia="zh-CN" w:bidi="ar-SA"/>
    </w:rPr>
  </w:style>
  <w:style w:type="character" w:customStyle="1" w:styleId="45">
    <w:name w:val="font10 Char"/>
    <w:autoRedefine/>
    <w:qFormat/>
    <w:uiPriority w:val="0"/>
    <w:rPr>
      <w:rFonts w:ascii="宋体" w:hAnsi="宋体" w:eastAsia="宋体"/>
      <w:color w:val="FF00FF"/>
      <w:lang w:val="en-US" w:eastAsia="zh-CN" w:bidi="ar-SA"/>
    </w:rPr>
  </w:style>
  <w:style w:type="character" w:customStyle="1" w:styleId="46">
    <w:name w:val="apple-converted-space"/>
    <w:autoRedefine/>
    <w:qFormat/>
    <w:uiPriority w:val="0"/>
  </w:style>
  <w:style w:type="character" w:customStyle="1" w:styleId="47">
    <w:name w:val="样式 四号"/>
    <w:autoRedefine/>
    <w:qFormat/>
    <w:uiPriority w:val="0"/>
    <w:rPr>
      <w:rFonts w:eastAsia="Times New Roman"/>
      <w:sz w:val="28"/>
    </w:rPr>
  </w:style>
  <w:style w:type="character" w:customStyle="1" w:styleId="48">
    <w:name w:val="未处理的提及"/>
    <w:autoRedefine/>
    <w:unhideWhenUsed/>
    <w:qFormat/>
    <w:uiPriority w:val="99"/>
    <w:rPr>
      <w:color w:val="605E5C"/>
      <w:shd w:val="clear" w:color="auto" w:fill="E1DFDD"/>
    </w:rPr>
  </w:style>
  <w:style w:type="character" w:customStyle="1" w:styleId="49">
    <w:name w:val="表头1023 Char"/>
    <w:link w:val="50"/>
    <w:autoRedefine/>
    <w:qFormat/>
    <w:uiPriority w:val="0"/>
    <w:rPr>
      <w:rFonts w:ascii="宋体" w:hAnsi="宋体"/>
      <w:color w:val="000000"/>
      <w:kern w:val="2"/>
      <w:sz w:val="28"/>
      <w:szCs w:val="28"/>
    </w:rPr>
  </w:style>
  <w:style w:type="paragraph" w:customStyle="1" w:styleId="50">
    <w:name w:val="表头1023"/>
    <w:basedOn w:val="1"/>
    <w:link w:val="49"/>
    <w:autoRedefine/>
    <w:qFormat/>
    <w:uiPriority w:val="0"/>
    <w:pPr>
      <w:adjustRightInd w:val="0"/>
      <w:snapToGrid w:val="0"/>
      <w:spacing w:line="360" w:lineRule="auto"/>
      <w:jc w:val="center"/>
    </w:pPr>
    <w:rPr>
      <w:rFonts w:ascii="宋体" w:hAnsi="宋体"/>
      <w:color w:val="000000"/>
      <w:sz w:val="28"/>
      <w:szCs w:val="28"/>
    </w:rPr>
  </w:style>
  <w:style w:type="character" w:customStyle="1" w:styleId="51">
    <w:name w:val="正文6"/>
    <w:qFormat/>
    <w:uiPriority w:val="0"/>
    <w:rPr>
      <w:rFonts w:ascii="Times New Roman" w:hAnsi="Times New Roman" w:eastAsia="宋体"/>
      <w:sz w:val="28"/>
      <w:szCs w:val="28"/>
    </w:rPr>
  </w:style>
  <w:style w:type="character" w:customStyle="1" w:styleId="52">
    <w:name w:val="一级条标题 Char1"/>
    <w:link w:val="53"/>
    <w:autoRedefine/>
    <w:qFormat/>
    <w:uiPriority w:val="0"/>
    <w:rPr>
      <w:rFonts w:eastAsia="黑体"/>
      <w:sz w:val="21"/>
      <w:lang w:val="en-US" w:eastAsia="zh-CN" w:bidi="ar-SA"/>
    </w:rPr>
  </w:style>
  <w:style w:type="paragraph" w:customStyle="1" w:styleId="53">
    <w:name w:val="一级条标题"/>
    <w:next w:val="1"/>
    <w:link w:val="52"/>
    <w:qFormat/>
    <w:uiPriority w:val="0"/>
    <w:pPr>
      <w:outlineLvl w:val="2"/>
    </w:pPr>
    <w:rPr>
      <w:rFonts w:ascii="Times New Roman" w:hAnsi="Times New Roman" w:eastAsia="黑体" w:cs="Times New Roman"/>
      <w:sz w:val="21"/>
      <w:lang w:val="en-US" w:eastAsia="zh-CN" w:bidi="ar-SA"/>
    </w:rPr>
  </w:style>
  <w:style w:type="character" w:customStyle="1" w:styleId="54">
    <w:name w:val="正文文本缩进 Char"/>
    <w:autoRedefine/>
    <w:semiHidden/>
    <w:qFormat/>
    <w:locked/>
    <w:uiPriority w:val="0"/>
    <w:rPr>
      <w:rFonts w:eastAsia="宋体"/>
      <w:spacing w:val="10"/>
      <w:kern w:val="2"/>
      <w:sz w:val="24"/>
      <w:lang w:val="en-US" w:eastAsia="zh-CN" w:bidi="ar-SA"/>
    </w:rPr>
  </w:style>
  <w:style w:type="character" w:customStyle="1" w:styleId="55">
    <w:name w:val="正文文本缩进 Char1"/>
    <w:link w:val="11"/>
    <w:autoRedefine/>
    <w:qFormat/>
    <w:locked/>
    <w:uiPriority w:val="0"/>
    <w:rPr>
      <w:spacing w:val="10"/>
      <w:kern w:val="2"/>
      <w:sz w:val="24"/>
    </w:rPr>
  </w:style>
  <w:style w:type="paragraph" w:customStyle="1" w:styleId="56">
    <w:name w:val="默认段落字体 Para Char Char Char Char Char Char Char Char Char3 Char Char Char Char"/>
    <w:basedOn w:val="8"/>
    <w:autoRedefine/>
    <w:qFormat/>
    <w:uiPriority w:val="0"/>
    <w:pPr>
      <w:adjustRightInd w:val="0"/>
      <w:spacing w:line="240" w:lineRule="exact"/>
      <w:ind w:left="357"/>
      <w:jc w:val="left"/>
      <w:outlineLvl w:val="3"/>
    </w:pPr>
    <w:rPr>
      <w:rFonts w:ascii="Tahoma" w:hAnsi="Tahoma"/>
      <w:szCs w:val="21"/>
    </w:rPr>
  </w:style>
  <w:style w:type="paragraph" w:customStyle="1" w:styleId="57">
    <w:name w:val="报告正文"/>
    <w:basedOn w:val="1"/>
    <w:autoRedefine/>
    <w:qFormat/>
    <w:uiPriority w:val="0"/>
    <w:pPr>
      <w:spacing w:line="500" w:lineRule="exact"/>
      <w:ind w:firstLine="200" w:firstLineChars="200"/>
      <w:jc w:val="left"/>
    </w:pPr>
    <w:rPr>
      <w:rFonts w:eastAsia="仿宋_GB2312"/>
      <w:sz w:val="28"/>
    </w:rPr>
  </w:style>
  <w:style w:type="paragraph" w:customStyle="1" w:styleId="58">
    <w:name w:val="章标题"/>
    <w:next w:val="1"/>
    <w:qFormat/>
    <w:uiPriority w:val="0"/>
    <w:pPr>
      <w:spacing w:beforeLines="50" w:afterLines="50"/>
      <w:ind w:left="3100" w:firstLine="680"/>
      <w:jc w:val="both"/>
      <w:outlineLvl w:val="1"/>
    </w:pPr>
    <w:rPr>
      <w:rFonts w:ascii="黑体" w:hAnsi="Times New Roman" w:eastAsia="黑体" w:cs="Times New Roman"/>
      <w:sz w:val="21"/>
      <w:lang w:val="en-US" w:eastAsia="zh-CN" w:bidi="ar-SA"/>
    </w:rPr>
  </w:style>
  <w:style w:type="paragraph" w:customStyle="1" w:styleId="59">
    <w:name w:val="二级条标题"/>
    <w:basedOn w:val="53"/>
    <w:next w:val="1"/>
    <w:qFormat/>
    <w:uiPriority w:val="0"/>
    <w:pPr>
      <w:tabs>
        <w:tab w:val="left" w:pos="720"/>
      </w:tabs>
      <w:ind w:left="720" w:hanging="720"/>
      <w:outlineLvl w:val="3"/>
    </w:pPr>
  </w:style>
  <w:style w:type="paragraph" w:customStyle="1" w:styleId="60">
    <w:name w:val="表格标题"/>
    <w:basedOn w:val="1"/>
    <w:next w:val="1"/>
    <w:qFormat/>
    <w:uiPriority w:val="0"/>
    <w:pPr>
      <w:keepNext/>
      <w:widowControl/>
      <w:overflowPunct w:val="0"/>
      <w:adjustRightInd w:val="0"/>
      <w:snapToGrid w:val="0"/>
      <w:spacing w:before="360" w:after="120" w:line="480" w:lineRule="exact"/>
      <w:jc w:val="center"/>
      <w:textAlignment w:val="baseline"/>
    </w:pPr>
    <w:rPr>
      <w:rFonts w:ascii="Arial" w:hAnsi="Arial" w:eastAsia="黑体"/>
      <w:kern w:val="0"/>
      <w:sz w:val="24"/>
      <w:szCs w:val="20"/>
    </w:rPr>
  </w:style>
  <w:style w:type="paragraph" w:customStyle="1" w:styleId="61">
    <w:name w:val="正文居中"/>
    <w:basedOn w:val="1"/>
    <w:qFormat/>
    <w:uiPriority w:val="0"/>
    <w:pPr>
      <w:snapToGrid w:val="0"/>
      <w:spacing w:line="360" w:lineRule="auto"/>
      <w:jc w:val="center"/>
    </w:pPr>
    <w:rPr>
      <w:rFonts w:ascii="宋体" w:hAnsi="Calibri"/>
      <w:szCs w:val="20"/>
    </w:rPr>
  </w:style>
  <w:style w:type="paragraph" w:customStyle="1" w:styleId="62">
    <w:name w:val="Char Char Char"/>
    <w:basedOn w:val="1"/>
    <w:next w:val="2"/>
    <w:qFormat/>
    <w:uiPriority w:val="0"/>
    <w:rPr>
      <w:sz w:val="28"/>
      <w:szCs w:val="28"/>
    </w:rPr>
  </w:style>
  <w:style w:type="paragraph" w:customStyle="1" w:styleId="63">
    <w:name w:val="Char Char9"/>
    <w:basedOn w:val="1"/>
    <w:autoRedefine/>
    <w:semiHidden/>
    <w:qFormat/>
    <w:uiPriority w:val="0"/>
    <w:pPr>
      <w:ind w:left="510"/>
    </w:pPr>
    <w:rPr>
      <w:rFonts w:ascii="Arial" w:hAnsi="Arial"/>
      <w:sz w:val="32"/>
      <w:szCs w:val="32"/>
    </w:rPr>
  </w:style>
  <w:style w:type="paragraph" w:customStyle="1" w:styleId="64">
    <w:name w:val="Char Char Char1"/>
    <w:basedOn w:val="1"/>
    <w:next w:val="2"/>
    <w:autoRedefine/>
    <w:qFormat/>
    <w:uiPriority w:val="0"/>
    <w:rPr>
      <w:sz w:val="28"/>
      <w:szCs w:val="28"/>
    </w:rPr>
  </w:style>
  <w:style w:type="paragraph" w:customStyle="1" w:styleId="65">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样式 标题 3 + (符号) 黑体 四号 段前: 6 磅 段后: 0 磅 行距: 固定值 25 磅"/>
    <w:basedOn w:val="5"/>
    <w:autoRedefine/>
    <w:qFormat/>
    <w:uiPriority w:val="0"/>
    <w:pPr>
      <w:spacing w:before="0" w:after="0" w:line="500" w:lineRule="exact"/>
      <w:ind w:right="48" w:rightChars="23"/>
    </w:pPr>
    <w:rPr>
      <w:rFonts w:ascii="黑体" w:hAnsi="黑体" w:eastAsia="黑体" w:cs="宋体"/>
      <w:b w:val="0"/>
      <w:bCs w:val="0"/>
      <w:sz w:val="28"/>
      <w:szCs w:val="20"/>
    </w:rPr>
  </w:style>
  <w:style w:type="paragraph" w:customStyle="1" w:styleId="67">
    <w:name w:val="三级条标题"/>
    <w:basedOn w:val="59"/>
    <w:next w:val="1"/>
    <w:autoRedefine/>
    <w:qFormat/>
    <w:uiPriority w:val="0"/>
    <w:pPr>
      <w:tabs>
        <w:tab w:val="left" w:pos="1080"/>
      </w:tabs>
      <w:ind w:left="1080" w:hanging="1080"/>
      <w:outlineLvl w:val="4"/>
    </w:pPr>
  </w:style>
  <w:style w:type="character" w:customStyle="1" w:styleId="68">
    <w:name w:val="页脚 Char"/>
    <w:basedOn w:val="36"/>
    <w:link w:val="19"/>
    <w:qFormat/>
    <w:uiPriority w:val="99"/>
    <w:rPr>
      <w:kern w:val="2"/>
      <w:sz w:val="18"/>
      <w:szCs w:val="18"/>
    </w:rPr>
  </w:style>
  <w:style w:type="paragraph" w:styleId="6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4.wmf"/><Relationship Id="rId32" Type="http://schemas.openxmlformats.org/officeDocument/2006/relationships/oleObject" Target="embeddings/oleObject2.bin"/><Relationship Id="rId31" Type="http://schemas.openxmlformats.org/officeDocument/2006/relationships/image" Target="media/image2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wmf"/><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241"/>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7"/>
    <customShpInfo spid="_x0000_s2245"/>
    <customShpInfo spid="_x0000_s2244"/>
    <customShpInfo spid="_x0000_s2136"/>
    <customShpInfo spid="_x0000_s2141"/>
    <customShpInfo spid="_x0000_s2143"/>
    <customShpInfo spid="_x0000_s2142"/>
    <customShpInfo spid="_x0000_s2139"/>
    <customShpInfo spid="_x0000_s2140"/>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235"/>
    <customShpInfo spid="_x0000_s2234"/>
    <customShpInfo spid="_x0000_s2233"/>
    <customShpInfo spid="_x0000_s2232"/>
    <customShpInfo spid="_x0000_s22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125</Pages>
  <Words>7107</Words>
  <Characters>8675</Characters>
  <Lines>568</Lines>
  <Paragraphs>159</Paragraphs>
  <TotalTime>1</TotalTime>
  <ScaleCrop>false</ScaleCrop>
  <LinksUpToDate>false</LinksUpToDate>
  <CharactersWithSpaces>9111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2013-05-07T07:23:00Z</dcterms:created>
  <dc:creator>USER</dc:creator>
  <cp:lastModifiedBy>忘尘</cp:lastModifiedBy>
  <cp:lastPrinted>2025-04-03T01:53:00Z</cp:lastPrinted>
  <dcterms:modified xsi:type="dcterms:W3CDTF">2025-07-07T08:24:20Z</dcterms:modified>
  <dc:title>目    录</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68493D579C554F0A9B7E79AB2A856261</vt:lpwstr>
  </property>
  <property fmtid="{D5CDD505-2E9C-101B-9397-08002B2CF9AE}" pid="4" name="KSOTemplateDocerSaveRecord">
    <vt:lpwstr>eyJoZGlkIjoiZGI5ZmY4ZDM4NWRkMGFjNjE2NmQ2ZjIxMTg5YjM1OWMiLCJ1c2VySWQiOiI4MzUzOTYxNDMifQ==</vt:lpwstr>
  </property>
</Properties>
</file>